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pBdr>
          <w:bottom w:val="single" w:color="0D9488" w:sz="12" w:space="1"/>
        </w:pBdr>
        <w:spacing w:after="400"/>
      </w:pPr>
    </w:p>
    <w:p>
      <w:pPr>
        <w:spacing w:after="200"/>
      </w:pPr>
    </w:p>
    <w:p>
      <w:pPr>
        <w:spacing w:after="80"/>
        <w:jc w:val="left"/>
      </w:pPr>
      <w:r>
        <w:rPr>
          <w:rFonts w:ascii="Arial" w:cs="Arial" w:eastAsia="Arial" w:hAnsi="Arial"/>
          <w:b/>
          <w:bCs/>
          <w:color w:val="0A1628"/>
          <w:sz w:val="56"/>
          <w:szCs w:val="56"/>
        </w:rPr>
        <w:t xml:space="preserve">IMPACTO®</w:t>
      </w:r>
    </w:p>
    <w:p>
      <w:pPr>
        <w:spacing w:after="40"/>
        <w:jc w:val="left"/>
      </w:pPr>
      <w:r>
        <w:rPr>
          <w:rFonts w:ascii="Arial" w:cs="Arial" w:eastAsia="Arial" w:hAnsi="Arial"/>
          <w:color w:val="0D9488"/>
          <w:sz w:val="28"/>
          <w:szCs w:val="28"/>
        </w:rPr>
        <w:t xml:space="preserve">Economic Impact Intelligence Suite</w:t>
      </w:r>
    </w:p>
    <w:p>
      <w:pPr>
        <w:spacing w:after="200"/>
        <w:jc w:val="left"/>
      </w:pPr>
      <w:r>
        <w:rPr>
          <w:rFonts w:ascii="Arial" w:cs="Arial" w:eastAsia="Arial" w:hAnsi="Arial"/>
          <w:b/>
          <w:bCs/>
          <w:color w:val="D4A843"/>
          <w:sz w:val="22"/>
          <w:szCs w:val="22"/>
        </w:rPr>
        <w:t xml:space="preserve">Enterprise Tier — Full 13-Module Analysis</w:t>
      </w:r>
    </w:p>
    <w:p>
      <w:pPr>
        <w:pBdr>
          <w:bottom w:val="single" w:color="E2E8F0" w:sz="4" w:space="1"/>
        </w:pBdr>
        <w:spacing w:after="300"/>
      </w:pPr>
    </w:p>
    <w:p>
      <w:pPr>
        <w:spacing w:after="100"/>
      </w:pPr>
    </w:p>
    <w:p>
      <w:pPr>
        <w:spacing w:after="80"/>
      </w:pPr>
      <w:r>
        <w:rPr>
          <w:rFonts w:ascii="Arial" w:cs="Arial" w:eastAsia="Arial" w:hAnsi="Arial"/>
          <w:b/>
          <w:bCs/>
          <w:color w:val="0A1628"/>
          <w:sz w:val="24"/>
          <w:szCs w:val="24"/>
        </w:rPr>
        <w:t xml:space="preserve">COMPREHENSIVE ECONOMIC IMPACT ANALYSIS</w:t>
      </w:r>
    </w:p>
    <w:p>
      <w:pPr>
        <w:spacing w:after="60"/>
      </w:pPr>
      <w:r>
        <w:rPr>
          <w:rFonts w:ascii="Arial" w:cs="Arial" w:eastAsia="Arial" w:hAnsi="Arial"/>
          <w:color w:val="4A5568"/>
          <w:sz w:val="20"/>
          <w:szCs w:val="20"/>
        </w:rPr>
        <w:t xml:space="preserve">In Support of Form I-140, Immigrant Petition for Alien Worker</w:t>
      </w:r>
    </w:p>
    <w:p>
      <w:pPr>
        <w:spacing w:after="60"/>
      </w:pPr>
      <w:r>
        <w:rPr>
          <w:rFonts w:ascii="Arial" w:cs="Arial" w:eastAsia="Arial" w:hAnsi="Arial"/>
          <w:color w:val="4A5568"/>
          <w:sz w:val="20"/>
          <w:szCs w:val="20"/>
        </w:rPr>
        <w:t xml:space="preserve">National Interest Waiver (EB-2 NIW) — 8 CFR § 204.5(k)(4)(ii)</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b/>
                <w:bCs/>
                <w:color w:val="718096"/>
                <w:sz w:val="19"/>
                <w:szCs w:val="19"/>
              </w:rPr>
              <w:t xml:space="preserve">Petitioner:</w:t>
            </w:r>
          </w:p>
        </w:tc>
        <w:tc>
          <w:tcPr>
            <w:tcW w:type="dxa" w:w="656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1A202C"/>
                <w:sz w:val="19"/>
                <w:szCs w:val="19"/>
              </w:rPr>
              <w:t xml:space="preserve">Luciano Costa Ricci</w:t>
            </w:r>
          </w:p>
        </w:tc>
      </w:tr>
      <w:tr>
        <w:tc>
          <w:tcPr>
            <w:tcW w:type="dxa" w:w="28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b/>
                <w:bCs/>
                <w:color w:val="718096"/>
                <w:sz w:val="19"/>
                <w:szCs w:val="19"/>
              </w:rPr>
              <w:t xml:space="preserve">Company:</w:t>
            </w:r>
          </w:p>
        </w:tc>
        <w:tc>
          <w:tcPr>
            <w:tcW w:type="dxa" w:w="656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1A202C"/>
                <w:sz w:val="19"/>
                <w:szCs w:val="19"/>
              </w:rPr>
              <w:t xml:space="preserve">Logistics Optimization Solutions LLC</w:t>
            </w:r>
          </w:p>
        </w:tc>
      </w:tr>
      <w:tr>
        <w:tc>
          <w:tcPr>
            <w:tcW w:type="dxa" w:w="28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b/>
                <w:bCs/>
                <w:color w:val="718096"/>
                <w:sz w:val="19"/>
                <w:szCs w:val="19"/>
              </w:rPr>
              <w:t xml:space="preserve">Parent Entity:</w:t>
            </w:r>
          </w:p>
        </w:tc>
        <w:tc>
          <w:tcPr>
            <w:tcW w:type="dxa" w:w="656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1A202C"/>
                <w:sz w:val="19"/>
                <w:szCs w:val="19"/>
              </w:rPr>
              <w:t xml:space="preserve">N/A</w:t>
            </w:r>
          </w:p>
        </w:tc>
      </w:tr>
      <w:tr>
        <w:tc>
          <w:tcPr>
            <w:tcW w:type="dxa" w:w="28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b/>
                <w:bCs/>
                <w:color w:val="718096"/>
                <w:sz w:val="19"/>
                <w:szCs w:val="19"/>
              </w:rPr>
              <w:t xml:space="preserve">Industry:</w:t>
            </w:r>
          </w:p>
        </w:tc>
        <w:tc>
          <w:tcPr>
            <w:tcW w:type="dxa" w:w="656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1A202C"/>
                <w:sz w:val="19"/>
                <w:szCs w:val="19"/>
              </w:rPr>
              <w:t xml:space="preserve">541614</w:t>
            </w:r>
          </w:p>
        </w:tc>
      </w:tr>
      <w:tr>
        <w:tc>
          <w:tcPr>
            <w:tcW w:type="dxa" w:w="28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b/>
                <w:bCs/>
                <w:color w:val="718096"/>
                <w:sz w:val="19"/>
                <w:szCs w:val="19"/>
              </w:rPr>
              <w:t xml:space="preserve">Endeavor:</w:t>
            </w:r>
          </w:p>
        </w:tc>
        <w:tc>
          <w:tcPr>
            <w:tcW w:type="dxa" w:w="656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1A202C"/>
                <w:sz w:val="19"/>
                <w:szCs w:val="19"/>
              </w:rPr>
              <w:t xml:space="preserve">4PL Logistics Operations</w:t>
            </w:r>
          </w:p>
        </w:tc>
      </w:tr>
      <w:tr>
        <w:tc>
          <w:tcPr>
            <w:tcW w:type="dxa" w:w="28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b/>
                <w:bCs/>
                <w:color w:val="718096"/>
                <w:sz w:val="19"/>
                <w:szCs w:val="19"/>
              </w:rPr>
              <w:t xml:space="preserve">Impact Region:</w:t>
            </w:r>
          </w:p>
        </w:tc>
        <w:tc>
          <w:tcPr>
            <w:tcW w:type="dxa" w:w="656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1A202C"/>
                <w:sz w:val="19"/>
                <w:szCs w:val="19"/>
              </w:rPr>
              <w:t xml:space="preserve">Orlando-Kissimmee-Sanford</w:t>
            </w:r>
          </w:p>
        </w:tc>
      </w:tr>
      <w:tr>
        <w:tc>
          <w:tcPr>
            <w:tcW w:type="dxa" w:w="28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b/>
                <w:bCs/>
                <w:color w:val="718096"/>
                <w:sz w:val="19"/>
                <w:szCs w:val="19"/>
              </w:rPr>
              <w:t xml:space="preserve">Receipt Number:</w:t>
            </w:r>
          </w:p>
        </w:tc>
        <w:tc>
          <w:tcPr>
            <w:tcW w:type="dxa" w:w="656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1A202C"/>
                <w:sz w:val="19"/>
                <w:szCs w:val="19"/>
              </w:rPr>
              <w:t xml:space="preserve">N/A</w:t>
            </w:r>
          </w:p>
        </w:tc>
      </w:tr>
      <w:tr>
        <w:tc>
          <w:tcPr>
            <w:tcW w:type="dxa" w:w="28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b/>
                <w:bCs/>
                <w:color w:val="718096"/>
                <w:sz w:val="19"/>
                <w:szCs w:val="19"/>
              </w:rPr>
              <w:t xml:space="preserve">Priority Date:</w:t>
            </w:r>
          </w:p>
        </w:tc>
        <w:tc>
          <w:tcPr>
            <w:tcW w:type="dxa" w:w="656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1A202C"/>
                <w:sz w:val="19"/>
                <w:szCs w:val="19"/>
              </w:rPr>
              <w:t xml:space="preserve">N/A</w:t>
            </w:r>
          </w:p>
        </w:tc>
      </w:tr>
    </w:tbl>
    <w:p>
      <w:pPr>
        <w:spacing w:after="300"/>
      </w:pPr>
    </w:p>
    <w:p>
      <w:pPr>
        <w:pBdr>
          <w:bottom w:val="single" w:color="0D9488" w:sz="12" w:space="1"/>
        </w:pBdr>
        <w:spacing w:after="200"/>
      </w:pPr>
    </w:p>
    <w:p>
      <w:pPr>
        <w:spacing w:after="40"/>
        <w:jc w:val="left"/>
      </w:pPr>
      <w:r>
        <w:rPr>
          <w:rFonts w:ascii="Arial" w:cs="Arial" w:eastAsia="Arial" w:hAnsi="Arial"/>
          <w:color w:val="4A5568"/>
          <w:sz w:val="18"/>
          <w:szCs w:val="18"/>
        </w:rPr>
        <w:t xml:space="preserve">Prepared by: Global Communication LLC</w:t>
      </w:r>
    </w:p>
    <w:p>
      <w:pPr>
        <w:spacing w:after="40"/>
        <w:jc w:val="left"/>
      </w:pPr>
      <w:r>
        <w:rPr>
          <w:rFonts w:ascii="Arial" w:cs="Arial" w:eastAsia="Arial" w:hAnsi="Arial"/>
          <w:color w:val="4A5568"/>
          <w:sz w:val="18"/>
          <w:szCs w:val="18"/>
        </w:rPr>
        <w:t xml:space="preserve">Methodology: IMPLAN® + RIMS II + EPI Employment Multipliers</w:t>
      </w:r>
    </w:p>
    <w:p>
      <w:pPr>
        <w:spacing w:after="40"/>
        <w:jc w:val="left"/>
      </w:pPr>
      <w:r>
        <w:rPr>
          <w:rFonts w:ascii="Arial" w:cs="Arial" w:eastAsia="Arial" w:hAnsi="Arial"/>
          <w:color w:val="4A5568"/>
          <w:sz w:val="18"/>
          <w:szCs w:val="18"/>
        </w:rPr>
        <w:t xml:space="preserve">Analysis Date: March 2026 | Report ID: IMP-2026-LUCIANO-COSTA-RICCI</w:t>
      </w:r>
    </w:p>
    <w:p>
      <w:pPr>
        <w:jc w:val="left"/>
      </w:pPr>
      <w:r>
        <w:rPr>
          <w:rFonts w:ascii="Arial" w:cs="Arial" w:eastAsia="Arial" w:hAnsi="Arial"/>
          <w:b/>
          <w:bCs/>
          <w:color w:val="E53E3E"/>
          <w:sz w:val="16"/>
          <w:szCs w:val="16"/>
        </w:rPr>
        <w:t xml:space="preserve">CONFIDENTIAL — Prepared for Immigration Proceedings Only</w:t>
      </w:r>
    </w:p>
    <w:p>
      <w:pPr>
        <w:pStyle w:val="Heading1"/>
        <w:spacing w:after="200" w:before="360"/>
      </w:pPr>
      <w:r>
        <w:rPr>
          <w:rFonts w:ascii="Arial" w:cs="Arial" w:eastAsia="Arial" w:hAnsi="Arial"/>
          <w:b/>
          <w:bCs/>
          <w:color w:val="0A1628"/>
          <w:sz w:val="32"/>
          <w:szCs w:val="32"/>
        </w:rPr>
        <w:t xml:space="preserve">Table of Contents</w:t>
      </w:r>
    </w:p>
    <w:p>
      <w:pPr>
        <w:spacing w:after="100"/>
      </w:pPr>
    </w:p>
    <w:p>
      <w:pPr>
        <w:spacing w:after="80" w:line="300"/>
        <w:ind w:left="200"/>
      </w:pPr>
      <w:r>
        <w:rPr>
          <w:rFonts w:ascii="Arial" w:cs="Arial" w:eastAsia="Arial" w:hAnsi="Arial"/>
          <w:b/>
          <w:bCs/>
          <w:color w:val="0D9488"/>
          <w:sz w:val="20"/>
          <w:szCs w:val="20"/>
        </w:rPr>
        <w:t xml:space="preserve">1. </w:t>
      </w:r>
      <w:r>
        <w:rPr>
          <w:rFonts w:ascii="Arial" w:cs="Arial" w:eastAsia="Arial" w:hAnsi="Arial"/>
          <w:color w:val="1A202C"/>
          <w:sz w:val="20"/>
          <w:szCs w:val="20"/>
        </w:rPr>
        <w:t xml:space="preserve">Executive Summary &amp; Impact Dashboard</w:t>
      </w:r>
    </w:p>
    <w:p>
      <w:pPr>
        <w:spacing w:after="80" w:line="300"/>
        <w:ind w:left="200"/>
      </w:pPr>
      <w:r>
        <w:rPr>
          <w:rFonts w:ascii="Arial" w:cs="Arial" w:eastAsia="Arial" w:hAnsi="Arial"/>
          <w:b/>
          <w:bCs/>
          <w:color w:val="0D9488"/>
          <w:sz w:val="20"/>
          <w:szCs w:val="20"/>
        </w:rPr>
        <w:t xml:space="preserve">2. </w:t>
      </w:r>
      <w:r>
        <w:rPr>
          <w:rFonts w:ascii="Arial" w:cs="Arial" w:eastAsia="Arial" w:hAnsi="Arial"/>
          <w:color w:val="1A202C"/>
          <w:sz w:val="20"/>
          <w:szCs w:val="20"/>
        </w:rPr>
        <w:t xml:space="preserve">Module M1 — Core Economic Impact Analysis (IMPLAN + RIMS II)</w:t>
      </w:r>
    </w:p>
    <w:p>
      <w:pPr>
        <w:spacing w:after="80" w:line="300"/>
        <w:ind w:left="200"/>
      </w:pPr>
      <w:r>
        <w:rPr>
          <w:rFonts w:ascii="Arial" w:cs="Arial" w:eastAsia="Arial" w:hAnsi="Arial"/>
          <w:b/>
          <w:bCs/>
          <w:color w:val="0D9488"/>
          <w:sz w:val="20"/>
          <w:szCs w:val="20"/>
        </w:rPr>
        <w:t xml:space="preserve">3. </w:t>
      </w:r>
      <w:r>
        <w:rPr>
          <w:rFonts w:ascii="Arial" w:cs="Arial" w:eastAsia="Arial" w:hAnsi="Arial"/>
          <w:color w:val="1A202C"/>
          <w:sz w:val="20"/>
          <w:szCs w:val="20"/>
        </w:rPr>
        <w:t xml:space="preserve">Module M2 — Regional Economic Footprint (MSA)</w:t>
      </w:r>
    </w:p>
    <w:p>
      <w:pPr>
        <w:spacing w:after="80" w:line="300"/>
        <w:ind w:left="200"/>
      </w:pPr>
      <w:r>
        <w:rPr>
          <w:rFonts w:ascii="Arial" w:cs="Arial" w:eastAsia="Arial" w:hAnsi="Arial"/>
          <w:b/>
          <w:bCs/>
          <w:color w:val="0D9488"/>
          <w:sz w:val="20"/>
          <w:szCs w:val="20"/>
        </w:rPr>
        <w:t xml:space="preserve">4. </w:t>
      </w:r>
      <w:r>
        <w:rPr>
          <w:rFonts w:ascii="Arial" w:cs="Arial" w:eastAsia="Arial" w:hAnsi="Arial"/>
          <w:color w:val="1A202C"/>
          <w:sz w:val="20"/>
          <w:szCs w:val="20"/>
        </w:rPr>
        <w:t xml:space="preserve">Module M3 — Sectoral Multiplier Analysis (NAICS)</w:t>
      </w:r>
    </w:p>
    <w:p>
      <w:pPr>
        <w:spacing w:after="80" w:line="300"/>
        <w:ind w:left="200"/>
      </w:pPr>
      <w:r>
        <w:rPr>
          <w:rFonts w:ascii="Arial" w:cs="Arial" w:eastAsia="Arial" w:hAnsi="Arial"/>
          <w:b/>
          <w:bCs/>
          <w:color w:val="0D9488"/>
          <w:sz w:val="20"/>
          <w:szCs w:val="20"/>
        </w:rPr>
        <w:t xml:space="preserve">5. </w:t>
      </w:r>
      <w:r>
        <w:rPr>
          <w:rFonts w:ascii="Arial" w:cs="Arial" w:eastAsia="Arial" w:hAnsi="Arial"/>
          <w:color w:val="1A202C"/>
          <w:sz w:val="20"/>
          <w:szCs w:val="20"/>
        </w:rPr>
        <w:t xml:space="preserve">Module M4 — Tax Revenue Projection (Federal, State &amp; Local)</w:t>
      </w:r>
    </w:p>
    <w:p>
      <w:pPr>
        <w:spacing w:after="80" w:line="300"/>
        <w:ind w:left="200"/>
      </w:pPr>
      <w:r>
        <w:rPr>
          <w:rFonts w:ascii="Arial" w:cs="Arial" w:eastAsia="Arial" w:hAnsi="Arial"/>
          <w:b/>
          <w:bCs/>
          <w:color w:val="0D9488"/>
          <w:sz w:val="20"/>
          <w:szCs w:val="20"/>
        </w:rPr>
        <w:t xml:space="preserve">6. </w:t>
      </w:r>
      <w:r>
        <w:rPr>
          <w:rFonts w:ascii="Arial" w:cs="Arial" w:eastAsia="Arial" w:hAnsi="Arial"/>
          <w:color w:val="1A202C"/>
          <w:sz w:val="20"/>
          <w:szCs w:val="20"/>
        </w:rPr>
        <w:t xml:space="preserve">Module M5 — Supply Chain Ecosystem Mapping</w:t>
      </w:r>
    </w:p>
    <w:p>
      <w:pPr>
        <w:spacing w:after="80" w:line="300"/>
        <w:ind w:left="200"/>
      </w:pPr>
      <w:r>
        <w:rPr>
          <w:rFonts w:ascii="Arial" w:cs="Arial" w:eastAsia="Arial" w:hAnsi="Arial"/>
          <w:b/>
          <w:bCs/>
          <w:color w:val="0D9488"/>
          <w:sz w:val="20"/>
          <w:szCs w:val="20"/>
        </w:rPr>
        <w:t xml:space="preserve">7. </w:t>
      </w:r>
      <w:r>
        <w:rPr>
          <w:rFonts w:ascii="Arial" w:cs="Arial" w:eastAsia="Arial" w:hAnsi="Arial"/>
          <w:color w:val="1A202C"/>
          <w:sz w:val="20"/>
          <w:szCs w:val="20"/>
        </w:rPr>
        <w:t xml:space="preserve">Module M6 — EPI Employment Multiplier Analysis</w:t>
      </w:r>
    </w:p>
    <w:p>
      <w:pPr>
        <w:spacing w:after="80" w:line="300"/>
        <w:ind w:left="200"/>
      </w:pPr>
      <w:r>
        <w:rPr>
          <w:rFonts w:ascii="Arial" w:cs="Arial" w:eastAsia="Arial" w:hAnsi="Arial"/>
          <w:b/>
          <w:bCs/>
          <w:color w:val="0D9488"/>
          <w:sz w:val="20"/>
          <w:szCs w:val="20"/>
        </w:rPr>
        <w:t xml:space="preserve">8. </w:t>
      </w:r>
      <w:r>
        <w:rPr>
          <w:rFonts w:ascii="Arial" w:cs="Arial" w:eastAsia="Arial" w:hAnsi="Arial"/>
          <w:color w:val="1A202C"/>
          <w:sz w:val="20"/>
          <w:szCs w:val="20"/>
        </w:rPr>
        <w:t xml:space="preserve">Module M7 — Policy &amp; National Priority Alignment</w:t>
      </w:r>
    </w:p>
    <w:p>
      <w:pPr>
        <w:spacing w:after="80" w:line="300"/>
        <w:ind w:left="200"/>
      </w:pPr>
      <w:r>
        <w:rPr>
          <w:rFonts w:ascii="Arial" w:cs="Arial" w:eastAsia="Arial" w:hAnsi="Arial"/>
          <w:b/>
          <w:bCs/>
          <w:color w:val="0D9488"/>
          <w:sz w:val="20"/>
          <w:szCs w:val="20"/>
        </w:rPr>
        <w:t xml:space="preserve">9. </w:t>
      </w:r>
      <w:r>
        <w:rPr>
          <w:rFonts w:ascii="Arial" w:cs="Arial" w:eastAsia="Arial" w:hAnsi="Arial"/>
          <w:color w:val="1A202C"/>
          <w:sz w:val="20"/>
          <w:szCs w:val="20"/>
        </w:rPr>
        <w:t xml:space="preserve">Module M8 — Comparative Regional Advantage</w:t>
      </w:r>
    </w:p>
    <w:p>
      <w:pPr>
        <w:spacing w:after="80" w:line="300"/>
        <w:ind w:left="200"/>
      </w:pPr>
      <w:r>
        <w:rPr>
          <w:rFonts w:ascii="Arial" w:cs="Arial" w:eastAsia="Arial" w:hAnsi="Arial"/>
          <w:b/>
          <w:bCs/>
          <w:color w:val="0D9488"/>
          <w:sz w:val="20"/>
          <w:szCs w:val="20"/>
        </w:rPr>
        <w:t xml:space="preserve">10. </w:t>
      </w:r>
      <w:r>
        <w:rPr>
          <w:rFonts w:ascii="Arial" w:cs="Arial" w:eastAsia="Arial" w:hAnsi="Arial"/>
          <w:color w:val="1A202C"/>
          <w:sz w:val="20"/>
          <w:szCs w:val="20"/>
        </w:rPr>
        <w:t xml:space="preserve">Module M9 — Sensitivity &amp; Scenario Analysis</w:t>
      </w:r>
    </w:p>
    <w:p>
      <w:pPr>
        <w:spacing w:after="80" w:line="300"/>
        <w:ind w:left="200"/>
      </w:pPr>
      <w:r>
        <w:rPr>
          <w:rFonts w:ascii="Arial" w:cs="Arial" w:eastAsia="Arial" w:hAnsi="Arial"/>
          <w:b/>
          <w:bCs/>
          <w:color w:val="0D9488"/>
          <w:sz w:val="20"/>
          <w:szCs w:val="20"/>
        </w:rPr>
        <w:t xml:space="preserve">11. </w:t>
      </w:r>
      <w:r>
        <w:rPr>
          <w:rFonts w:ascii="Arial" w:cs="Arial" w:eastAsia="Arial" w:hAnsi="Arial"/>
          <w:color w:val="1A202C"/>
          <w:sz w:val="20"/>
          <w:szCs w:val="20"/>
        </w:rPr>
        <w:t xml:space="preserve">Module M10 — RFE Mapping</w:t>
      </w:r>
    </w:p>
    <w:p>
      <w:pPr>
        <w:spacing w:after="80" w:line="300"/>
        <w:ind w:left="200"/>
      </w:pPr>
      <w:r>
        <w:rPr>
          <w:rFonts w:ascii="Arial" w:cs="Arial" w:eastAsia="Arial" w:hAnsi="Arial"/>
          <w:b/>
          <w:bCs/>
          <w:color w:val="0D9488"/>
          <w:sz w:val="20"/>
          <w:szCs w:val="20"/>
        </w:rPr>
        <w:t xml:space="preserve">12. </w:t>
      </w:r>
      <w:r>
        <w:rPr>
          <w:rFonts w:ascii="Arial" w:cs="Arial" w:eastAsia="Arial" w:hAnsi="Arial"/>
          <w:color w:val="1A202C"/>
          <w:sz w:val="20"/>
          <w:szCs w:val="20"/>
        </w:rPr>
        <w:t xml:space="preserve">Module M11 — Social Return on Investment (SROI) Analysis</w:t>
      </w:r>
    </w:p>
    <w:p>
      <w:pPr>
        <w:spacing w:after="80" w:line="300"/>
        <w:ind w:left="200"/>
      </w:pPr>
      <w:r>
        <w:rPr>
          <w:rFonts w:ascii="Arial" w:cs="Arial" w:eastAsia="Arial" w:hAnsi="Arial"/>
          <w:b/>
          <w:bCs/>
          <w:color w:val="0D9488"/>
          <w:sz w:val="20"/>
          <w:szCs w:val="20"/>
        </w:rPr>
        <w:t xml:space="preserve">13. </w:t>
      </w:r>
      <w:r>
        <w:rPr>
          <w:rFonts w:ascii="Arial" w:cs="Arial" w:eastAsia="Arial" w:hAnsi="Arial"/>
          <w:color w:val="1A202C"/>
          <w:sz w:val="20"/>
          <w:szCs w:val="20"/>
        </w:rPr>
        <w:t xml:space="preserve">Module M12 — Cultural &amp; Cross-Border Impact</w:t>
      </w:r>
    </w:p>
    <w:p>
      <w:pPr>
        <w:spacing w:after="80" w:line="300"/>
        <w:ind w:left="200"/>
      </w:pPr>
      <w:r>
        <w:rPr>
          <w:rFonts w:ascii="Arial" w:cs="Arial" w:eastAsia="Arial" w:hAnsi="Arial"/>
          <w:b/>
          <w:bCs/>
          <w:color w:val="0D9488"/>
          <w:sz w:val="20"/>
          <w:szCs w:val="20"/>
        </w:rPr>
        <w:t xml:space="preserve">14. </w:t>
      </w:r>
      <w:r>
        <w:rPr>
          <w:rFonts w:ascii="Arial" w:cs="Arial" w:eastAsia="Arial" w:hAnsi="Arial"/>
          <w:color w:val="1A202C"/>
          <w:sz w:val="20"/>
          <w:szCs w:val="20"/>
        </w:rPr>
        <w:t xml:space="preserve">Module M13 — Broader Field &amp; Societal Implications</w:t>
      </w:r>
    </w:p>
    <w:p>
      <w:pPr>
        <w:spacing w:after="80" w:line="300"/>
        <w:ind w:left="200"/>
      </w:pPr>
      <w:r>
        <w:rPr>
          <w:rFonts w:ascii="Arial" w:cs="Arial" w:eastAsia="Arial" w:hAnsi="Arial"/>
          <w:b/>
          <w:bCs/>
          <w:color w:val="0D9488"/>
          <w:sz w:val="20"/>
          <w:szCs w:val="20"/>
        </w:rPr>
        <w:t xml:space="preserve">15. </w:t>
      </w:r>
      <w:r>
        <w:rPr>
          <w:rFonts w:ascii="Arial" w:cs="Arial" w:eastAsia="Arial" w:hAnsi="Arial"/>
          <w:color w:val="1A202C"/>
          <w:sz w:val="20"/>
          <w:szCs w:val="20"/>
        </w:rPr>
        <w:t xml:space="preserve">Methodological Notes &amp; Data Sources</w:t>
      </w:r>
    </w:p>
    <w:p>
      <w:pPr>
        <w:spacing w:after="80" w:line="300"/>
        <w:ind w:left="200"/>
      </w:pPr>
      <w:r>
        <w:rPr>
          <w:rFonts w:ascii="Arial" w:cs="Arial" w:eastAsia="Arial" w:hAnsi="Arial"/>
          <w:b/>
          <w:bCs/>
          <w:color w:val="0D9488"/>
          <w:sz w:val="20"/>
          <w:szCs w:val="20"/>
        </w:rPr>
        <w:t xml:space="preserve">16. </w:t>
      </w:r>
      <w:r>
        <w:rPr>
          <w:rFonts w:ascii="Arial" w:cs="Arial" w:eastAsia="Arial" w:hAnsi="Arial"/>
          <w:color w:val="1A202C"/>
          <w:sz w:val="20"/>
          <w:szCs w:val="20"/>
        </w:rPr>
        <w:t xml:space="preserve">Appendices</w:t>
      </w:r>
    </w:p>
    <w:p>
      <w:r>
        <w:br w:type="page"/>
      </w:r>
    </w:p>
    <w:p>
      <w:r>
        <w:br w:type="page"/>
      </w:r>
    </w:p>
    <w:p>
      <w:pPr>
        <w:pStyle w:val="Heading1"/>
        <w:spacing w:after="200" w:before="360"/>
      </w:pPr>
      <w:r>
        <w:rPr>
          <w:rFonts w:ascii="Arial" w:cs="Arial" w:eastAsia="Arial" w:hAnsi="Arial"/>
          <w:b/>
          <w:bCs/>
          <w:color w:val="0A1628"/>
          <w:sz w:val="32"/>
          <w:szCs w:val="32"/>
        </w:rPr>
        <w:t xml:space="preserve">2. Module M1 — Core Economic Impact Analysis (IMPLAN + RIMS II)</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The Logistics Optimization Solutions LLC's 4PL Logistics Operations operation in the Orlando-Kissimmee-Sanford MSA generates a total 5-year economic output of $47.3M, validated through RIMS II Type II multipliers (2.48x) sourced from the Bureau of Economic Analysis.</w:t>
      </w:r>
    </w:p>
    <w:p>
      <w:pPr>
        <w:pStyle w:val="Heading2"/>
        <w:spacing w:after="160" w:before="280"/>
      </w:pPr>
      <w:r>
        <w:rPr>
          <w:rFonts w:ascii="Arial" w:cs="Arial" w:eastAsia="Arial" w:hAnsi="Arial"/>
          <w:b/>
          <w:bCs/>
          <w:color w:val="0D9488"/>
          <w:sz w:val="26"/>
          <w:szCs w:val="26"/>
        </w:rPr>
        <w:t xml:space="preserve">2.1 Total Economic Output (5-Year Projection)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8"/>
              <w:left w:val="none" w:color="FFFFFF" w:sz="0"/>
              <w:bottom w:val="none" w:color="FFFFFF" w:sz="0"/>
              <w:right w:val="none" w:color="FFFFFF" w:sz="0"/>
            </w:tcBorders>
            <w:shd w:fill="F8FAFB" w:val="clear"/>
            <w:tcMar>
              <w:top w:type="dxa" w:w="120"/>
              <w:left w:type="dxa" w:w="160"/>
              <w:bottom w:type="dxa" w:w="120"/>
              <w:right w:type="dxa" w:w="160"/>
            </w:tcMar>
          </w:tcPr>
          <w:p>
            <w:pPr>
              <w:spacing w:after="40"/>
              <w:jc w:val="center"/>
            </w:pPr>
            <w:r>
              <w:rPr>
                <w:rFonts w:ascii="Arial" w:cs="Arial" w:eastAsia="Arial" w:hAnsi="Arial"/>
                <w:b/>
                <w:bCs/>
                <w:color w:val="0D9488"/>
                <w:sz w:val="40"/>
                <w:szCs w:val="40"/>
              </w:rPr>
              <w:t xml:space="preserve">$47,300,000</w:t>
            </w:r>
          </w:p>
          <w:p>
            <w:pPr>
              <w:spacing w:after="20"/>
              <w:jc w:val="center"/>
            </w:pPr>
            <w:r>
              <w:rPr>
                <w:rFonts w:ascii="Arial" w:cs="Arial" w:eastAsia="Arial" w:hAnsi="Arial"/>
                <w:color w:val="4A5568"/>
                <w:sz w:val="18"/>
                <w:szCs w:val="18"/>
              </w:rPr>
              <w:t xml:space="preserve">5-Year Period</w:t>
            </w:r>
          </w:p>
          <w:p>
            <w:pPr>
              <w:jc w:val="center"/>
            </w:pPr>
            <w:r>
              <w:rPr>
                <w:rFonts w:ascii="Arial" w:cs="Arial" w:eastAsia="Arial" w:hAnsi="Arial"/>
                <w:color w:val="718096"/>
                <w:sz w:val="16"/>
                <w:szCs w:val="16"/>
              </w:rPr>
              <w:t xml:space="preserve">Total Economic Output</w:t>
            </w:r>
          </w:p>
        </w:tc>
      </w:tr>
    </w:tbl>
    <w:p>
      <w:pPr>
        <w:spacing w:after="200"/>
      </w:pPr>
    </w:p>
    <w:p>
      <w:pPr>
        <w:pStyle w:val="Heading2"/>
        <w:spacing w:after="160" w:before="280"/>
      </w:pPr>
      <w:r>
        <w:rPr>
          <w:rFonts w:ascii="Arial" w:cs="Arial" w:eastAsia="Arial" w:hAnsi="Arial"/>
          <w:b/>
          <w:bCs/>
          <w:color w:val="0D9488"/>
          <w:sz w:val="26"/>
          <w:szCs w:val="26"/>
        </w:rPr>
        <w:t xml:space="preserve">2.2 Output Decomposition: Direct vs. Induced Effects</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Decomposing the headline output figure into its three constituent layers — direct, indirect, and induced — clarifies where the petitioner's economic value is realized along the regional value chain. Each layer is computed under RIMS II Type II multipliers anchored to NAICS 541614 for the Orlando-Kissimmee-Sanford MSA.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Direct Output:</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$19,200,000</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Indirect Output:</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D9488"/>
                <w:sz w:val="20"/>
                <w:szCs w:val="20"/>
              </w:rPr>
              <w:t xml:space="preserve">$14,800,000</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Induced Output:</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B7A6E"/>
                <w:sz w:val="20"/>
                <w:szCs w:val="20"/>
              </w:rPr>
              <w:t xml:space="preserve">$13,300,000</w:t>
            </w:r>
          </w:p>
        </w:tc>
      </w:tr>
    </w:tbl>
    <w:p>
      <w:pPr>
        <w:spacing w:after="200"/>
      </w:pPr>
    </w:p>
    <w:p>
      <w:pPr>
        <w:pStyle w:val="Heading2"/>
        <w:spacing w:after="160" w:before="280"/>
      </w:pPr>
      <w:r>
        <w:rPr>
          <w:rFonts w:ascii="Arial" w:cs="Arial" w:eastAsia="Arial" w:hAnsi="Arial"/>
          <w:b/>
          <w:bCs/>
          <w:color w:val="0D9488"/>
          <w:sz w:val="26"/>
          <w:szCs w:val="26"/>
        </w:rPr>
        <w:t xml:space="preserve">2.3 Petitioner Expertise Profile</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The petitioner's distinctive technical and managerial competencies anchor the projected economic effects. The capabilities enumerated below act as causal drivers of the multipliers reported in subsections 2.1 and 2.2 and are referenced throughout subsequent modules (M6 Innovation, M11 SROI, M12 Cultural).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w:t>
            </w:r>
          </w:p>
        </w:tc>
        <w:tc>
          <w:tcPr>
            <w:tcW w:type="dxa" w:w="856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Area of Expertise</w:t>
            </w:r>
          </w:p>
        </w:tc>
      </w:tr>
      <w:tr>
        <w:tc>
          <w:tcPr>
            <w:tcW w:type="dxa" w:w="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1</w:t>
            </w:r>
          </w:p>
        </w:tc>
        <w:tc>
          <w:tcPr>
            <w:tcW w:type="dxa" w:w="85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Multi-modal optimization</w:t>
            </w:r>
          </w:p>
        </w:tc>
      </w:tr>
      <w:tr>
        <w:tc>
          <w:tcPr>
            <w:tcW w:type="dxa" w:w="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2</w:t>
            </w:r>
          </w:p>
        </w:tc>
        <w:tc>
          <w:tcPr>
            <w:tcW w:type="dxa" w:w="8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AI-driven logistics consolidation</w:t>
            </w:r>
          </w:p>
        </w:tc>
      </w:tr>
      <w:tr>
        <w:tc>
          <w:tcPr>
            <w:tcW w:type="dxa" w:w="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3</w:t>
            </w:r>
          </w:p>
        </w:tc>
        <w:tc>
          <w:tcPr>
            <w:tcW w:type="dxa" w:w="85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Regional supply chain integration</w:t>
            </w:r>
          </w:p>
        </w:tc>
      </w:tr>
    </w:tbl>
    <w:p>
      <w:pPr>
        <w:spacing w:after="200"/>
      </w:pPr>
    </w:p>
    <w:p>
      <w:pPr>
        <w:pStyle w:val="Heading2"/>
        <w:spacing w:after="160" w:before="280"/>
      </w:pPr>
      <w:r>
        <w:rPr>
          <w:rFonts w:ascii="Arial" w:cs="Arial" w:eastAsia="Arial" w:hAnsi="Arial"/>
          <w:b/>
          <w:bCs/>
          <w:color w:val="0D9488"/>
          <w:sz w:val="26"/>
          <w:szCs w:val="26"/>
        </w:rPr>
        <w:t xml:space="preserve">2.4 Verifiable Credentials &amp; Qualifications</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Independent third-party credentials reinforce the reliability of projected impacts. Each credential below is verifiable through its issuing institution and is included in the supporting documentation appendix.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w:t>
            </w:r>
          </w:p>
        </w:tc>
        <w:tc>
          <w:tcPr>
            <w:tcW w:type="dxa" w:w="856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Credential</w:t>
            </w:r>
          </w:p>
        </w:tc>
      </w:tr>
      <w:tr>
        <w:tc>
          <w:tcPr>
            <w:tcW w:type="dxa" w:w="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1</w:t>
            </w:r>
          </w:p>
        </w:tc>
        <w:tc>
          <w:tcPr>
            <w:tcW w:type="dxa" w:w="85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Six Sigma Black Belt</w:t>
            </w:r>
          </w:p>
        </w:tc>
      </w:tr>
      <w:tr>
        <w:tc>
          <w:tcPr>
            <w:tcW w:type="dxa" w:w="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2</w:t>
            </w:r>
          </w:p>
        </w:tc>
        <w:tc>
          <w:tcPr>
            <w:tcW w:type="dxa" w:w="8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APICS CSCP</w:t>
            </w:r>
          </w:p>
        </w:tc>
      </w:tr>
      <w:tr>
        <w:tc>
          <w:tcPr>
            <w:tcW w:type="dxa" w:w="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3</w:t>
            </w:r>
          </w:p>
        </w:tc>
        <w:tc>
          <w:tcPr>
            <w:tcW w:type="dxa" w:w="85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ISO 9001 Lead Auditor</w:t>
            </w:r>
          </w:p>
        </w:tc>
      </w:tr>
    </w:tbl>
    <w:p>
      <w:pPr>
        <w:spacing w:after="200"/>
      </w:pPr>
    </w:p>
    <w:p>
      <w:pPr>
        <w:pStyle w:val="Heading2"/>
        <w:spacing w:after="160" w:before="280"/>
      </w:pPr>
      <w:r>
        <w:rPr>
          <w:rFonts w:ascii="Arial" w:cs="Arial" w:eastAsia="Arial" w:hAnsi="Arial"/>
          <w:b/>
          <w:bCs/>
          <w:color w:val="0D9488"/>
          <w:sz w:val="26"/>
          <w:szCs w:val="26"/>
        </w:rPr>
        <w:t xml:space="preserve">2.5 Operational Language Capability</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The petitioner's working languages enable cross-border execution of the operations modeled in this analysis, particularly the trade-corridor effects detailed in Module M12.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Language</w:t>
            </w:r>
          </w:p>
        </w:tc>
        <w:tc>
          <w:tcPr>
            <w:tcW w:type="dxa" w:w="468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Operational Use</w:t>
            </w:r>
          </w:p>
        </w:tc>
      </w:tr>
      <w:tr>
        <w:tc>
          <w:tcPr>
            <w:tcW w:type="dxa" w:w="46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English</w:t>
            </w:r>
          </w:p>
        </w:tc>
        <w:tc>
          <w:tcPr>
            <w:tcW w:type="dxa" w:w="46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Professional communication</w:t>
            </w:r>
          </w:p>
        </w:tc>
      </w:tr>
      <w:tr>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Portuguese</w:t>
            </w:r>
          </w:p>
        </w:tc>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Professional communication</w:t>
            </w:r>
          </w:p>
        </w:tc>
      </w:tr>
      <w:tr>
        <w:tc>
          <w:tcPr>
            <w:tcW w:type="dxa" w:w="46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Spanish</w:t>
            </w:r>
          </w:p>
        </w:tc>
        <w:tc>
          <w:tcPr>
            <w:tcW w:type="dxa" w:w="46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Professional communication</w:t>
            </w:r>
          </w:p>
        </w:tc>
      </w:tr>
    </w:tbl>
    <w:p>
      <w:r>
        <w:br w:type="page"/>
      </w:r>
    </w:p>
    <w:p>
      <w:pPr>
        <w:pStyle w:val="Heading1"/>
        <w:spacing w:after="200" w:before="360"/>
      </w:pPr>
      <w:r>
        <w:rPr>
          <w:rFonts w:ascii="Arial" w:cs="Arial" w:eastAsia="Arial" w:hAnsi="Arial"/>
          <w:b/>
          <w:bCs/>
          <w:color w:val="0A1628"/>
          <w:sz w:val="32"/>
          <w:szCs w:val="32"/>
        </w:rPr>
        <w:t xml:space="preserve">3. Module M2 — Regional Economic Footprint (MSA)</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The Orlando-Kissimmee-Sanford MSA (FIPS 36740) represents a critical economic hub in the region. Logistics Optimization Solutions LLC's footprint directly contributes to regional GDP through supply chain integration and employment generation.</w:t>
      </w:r>
    </w:p>
    <w:p>
      <w:pPr>
        <w:spacing w:after="200"/>
      </w:pPr>
    </w:p>
    <w:p>
      <w:pPr>
        <w:pStyle w:val="Heading2"/>
        <w:spacing w:after="160" w:before="280"/>
      </w:pPr>
      <w:r>
        <w:rPr>
          <w:rFonts w:ascii="Arial" w:cs="Arial" w:eastAsia="Arial" w:hAnsi="Arial"/>
          <w:b/>
          <w:bCs/>
          <w:color w:val="0D9488"/>
          <w:sz w:val="26"/>
          <w:szCs w:val="26"/>
        </w:rPr>
        <w:t xml:space="preserve">3.1 Regional Employment Impact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A169" w:sz="8"/>
              <w:left w:val="none" w:color="FFFFFF" w:sz="0"/>
              <w:bottom w:val="none" w:color="FFFFFF" w:sz="0"/>
              <w:right w:val="none" w:color="FFFFFF" w:sz="0"/>
            </w:tcBorders>
            <w:shd w:fill="F8FAFB" w:val="clear"/>
            <w:tcMar>
              <w:top w:type="dxa" w:w="120"/>
              <w:left w:type="dxa" w:w="160"/>
              <w:bottom w:type="dxa" w:w="120"/>
              <w:right w:type="dxa" w:w="160"/>
            </w:tcMar>
          </w:tcPr>
          <w:p>
            <w:pPr>
              <w:spacing w:after="40"/>
              <w:jc w:val="center"/>
            </w:pPr>
            <w:r>
              <w:rPr>
                <w:rFonts w:ascii="Arial" w:cs="Arial" w:eastAsia="Arial" w:hAnsi="Arial"/>
                <w:b/>
                <w:bCs/>
                <w:color w:val="38A169"/>
                <w:sz w:val="40"/>
                <w:szCs w:val="40"/>
              </w:rPr>
              <w:t xml:space="preserve">341-427</w:t>
            </w:r>
          </w:p>
          <w:p>
            <w:pPr>
              <w:spacing w:after="20"/>
              <w:jc w:val="center"/>
            </w:pPr>
            <w:r>
              <w:rPr>
                <w:rFonts w:ascii="Arial" w:cs="Arial" w:eastAsia="Arial" w:hAnsi="Arial"/>
                <w:color w:val="4A5568"/>
                <w:sz w:val="18"/>
                <w:szCs w:val="18"/>
              </w:rPr>
              <w:t xml:space="preserve">Direct + Indirect</w:t>
            </w:r>
          </w:p>
          <w:p>
            <w:pPr>
              <w:jc w:val="center"/>
            </w:pPr>
            <w:r>
              <w:rPr>
                <w:rFonts w:ascii="Arial" w:cs="Arial" w:eastAsia="Arial" w:hAnsi="Arial"/>
                <w:color w:val="718096"/>
                <w:sz w:val="16"/>
                <w:szCs w:val="16"/>
              </w:rPr>
              <w:t xml:space="preserve">Total Jobs Generated</w:t>
            </w:r>
          </w:p>
        </w:tc>
      </w:tr>
    </w:tbl>
    <w:p>
      <w:pPr>
        <w:spacing w:after="200"/>
      </w:pPr>
    </w:p>
    <w:p>
      <w:pPr>
        <w:pStyle w:val="Heading2"/>
        <w:spacing w:after="160" w:before="280"/>
      </w:pPr>
      <w:r>
        <w:rPr>
          <w:rFonts w:ascii="Arial" w:cs="Arial" w:eastAsia="Arial" w:hAnsi="Arial"/>
          <w:b/>
          <w:bCs/>
          <w:color w:val="0D9488"/>
          <w:sz w:val="26"/>
          <w:szCs w:val="26"/>
        </w:rPr>
        <w:t xml:space="preserve">3.2 Sector-Level Distribution of Generated Jobs</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Aggregate employment metrics conceal critical structural information. The sector-level breakdown below identifies where the petitioner's operations create occupational density and how each segment contributes to the overall multiplier reported in subsection 3.1.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2000"/>
        <w:gridCol w:w="2000"/>
      </w:tblGrid>
      <w:tr>
        <w:tc>
          <w:tcPr>
            <w:tcW w:type="dxa" w:w="536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Sector</w:t>
            </w:r>
          </w:p>
        </w:tc>
        <w:tc>
          <w:tcPr>
            <w:tcW w:type="dxa" w:w="200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Jobs</w:t>
            </w:r>
          </w:p>
        </w:tc>
        <w:tc>
          <w:tcPr>
            <w:tcW w:type="dxa" w:w="200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 of Total</w:t>
            </w:r>
          </w:p>
        </w:tc>
      </w:tr>
      <w:tr>
        <w:tc>
          <w:tcPr>
            <w:tcW w:type="dxa" w:w="53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Logistics &amp; Transportation</w:t>
            </w:r>
          </w:p>
        </w:tc>
        <w:tc>
          <w:tcPr>
            <w:tcW w:type="dxa" w:w="20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127</w:t>
            </w:r>
          </w:p>
        </w:tc>
        <w:tc>
          <w:tcPr>
            <w:tcW w:type="dxa" w:w="20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30%</w:t>
            </w:r>
          </w:p>
        </w:tc>
      </w:tr>
      <w:tr>
        <w:tc>
          <w:tcPr>
            <w:tcW w:type="dxa" w:w="5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Professional Services</w:t>
            </w:r>
          </w:p>
        </w:tc>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68</w:t>
            </w:r>
          </w:p>
        </w:tc>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16%</w:t>
            </w:r>
          </w:p>
        </w:tc>
      </w:tr>
      <w:tr>
        <w:tc>
          <w:tcPr>
            <w:tcW w:type="dxa" w:w="53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Retail/Wholesale Trade</w:t>
            </w:r>
          </w:p>
        </w:tc>
        <w:tc>
          <w:tcPr>
            <w:tcW w:type="dxa" w:w="20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52</w:t>
            </w:r>
          </w:p>
        </w:tc>
        <w:tc>
          <w:tcPr>
            <w:tcW w:type="dxa" w:w="20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12%</w:t>
            </w:r>
          </w:p>
        </w:tc>
      </w:tr>
      <w:tr>
        <w:tc>
          <w:tcPr>
            <w:tcW w:type="dxa" w:w="5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Other Supporting Industries</w:t>
            </w:r>
          </w:p>
        </w:tc>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87</w:t>
            </w:r>
          </w:p>
        </w:tc>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42%</w:t>
            </w:r>
          </w:p>
        </w:tc>
      </w:tr>
    </w:tbl>
    <w:p>
      <w:pPr>
        <w:spacing w:after="80"/>
      </w:pPr>
    </w:p>
    <w:p>
      <w:pPr>
        <w:spacing w:after="100" w:line="260"/>
        <w:jc w:val="left"/>
      </w:pPr>
      <w:r>
        <w:rPr>
          <w:rFonts w:ascii="Arial" w:cs="Arial" w:eastAsia="Arial" w:hAnsi="Arial"/>
          <w:i/>
          <w:iCs/>
          <w:color w:val="718096"/>
          <w:sz w:val="18"/>
          <w:szCs w:val="18"/>
        </w:rPr>
        <w:t xml:space="preserve">Source: RIMS II Type II modeling applied to operations declared in the petition.</w:t>
      </w:r>
    </w:p>
    <w:p>
      <w:r>
        <w:br w:type="page"/>
      </w:r>
    </w:p>
    <w:p>
      <w:pPr>
        <w:pStyle w:val="Heading1"/>
        <w:spacing w:after="200" w:before="360"/>
      </w:pPr>
      <w:r>
        <w:rPr>
          <w:rFonts w:ascii="Arial" w:cs="Arial" w:eastAsia="Arial" w:hAnsi="Arial"/>
          <w:b/>
          <w:bCs/>
          <w:color w:val="0A1628"/>
          <w:sz w:val="32"/>
          <w:szCs w:val="32"/>
        </w:rPr>
        <w:t xml:space="preserve">4. Module M3 — Sectoral Multiplier Analysis (NAICS)</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Sectoral multipliers for NAICS 541614 reveal the leverage of the petitioner's operations across upstream and downstream supply chain participants.</w:t>
      </w:r>
    </w:p>
    <w:p>
      <w:pPr>
        <w:spacing w:after="200"/>
      </w:pPr>
    </w:p>
    <w:p>
      <w:pPr>
        <w:pStyle w:val="Heading2"/>
        <w:spacing w:after="160" w:before="280"/>
      </w:pPr>
      <w:r>
        <w:rPr>
          <w:rFonts w:ascii="Arial" w:cs="Arial" w:eastAsia="Arial" w:hAnsi="Arial"/>
          <w:b/>
          <w:bCs/>
          <w:color w:val="0D9488"/>
          <w:sz w:val="26"/>
          <w:szCs w:val="26"/>
        </w:rPr>
        <w:t xml:space="preserve">4.1 Sectoral Income Effects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182CE" w:sz="8"/>
              <w:left w:val="none" w:color="FFFFFF" w:sz="0"/>
              <w:bottom w:val="none" w:color="FFFFFF" w:sz="0"/>
              <w:right w:val="none" w:color="FFFFFF" w:sz="0"/>
            </w:tcBorders>
            <w:shd w:fill="F8FAFB" w:val="clear"/>
            <w:tcMar>
              <w:top w:type="dxa" w:w="120"/>
              <w:left w:type="dxa" w:w="160"/>
              <w:bottom w:type="dxa" w:w="120"/>
              <w:right w:type="dxa" w:w="160"/>
            </w:tcMar>
          </w:tcPr>
          <w:p>
            <w:pPr>
              <w:spacing w:after="40"/>
              <w:jc w:val="center"/>
            </w:pPr>
            <w:r>
              <w:rPr>
                <w:rFonts w:ascii="Arial" w:cs="Arial" w:eastAsia="Arial" w:hAnsi="Arial"/>
                <w:b/>
                <w:bCs/>
                <w:color w:val="3182CE"/>
                <w:sz w:val="40"/>
                <w:szCs w:val="40"/>
              </w:rPr>
              <w:t xml:space="preserve">$28,400,000</w:t>
            </w:r>
          </w:p>
          <w:p>
            <w:pPr>
              <w:spacing w:after="20"/>
              <w:jc w:val="center"/>
            </w:pPr>
            <w:r>
              <w:rPr>
                <w:rFonts w:ascii="Arial" w:cs="Arial" w:eastAsia="Arial" w:hAnsi="Arial"/>
                <w:color w:val="4A5568"/>
                <w:sz w:val="18"/>
                <w:szCs w:val="18"/>
              </w:rPr>
              <w:t xml:space="preserve">Direct Employment</w:t>
            </w:r>
          </w:p>
          <w:p>
            <w:pPr>
              <w:jc w:val="center"/>
            </w:pPr>
            <w:r>
              <w:rPr>
                <w:rFonts w:ascii="Arial" w:cs="Arial" w:eastAsia="Arial" w:hAnsi="Arial"/>
                <w:color w:val="718096"/>
                <w:sz w:val="16"/>
                <w:szCs w:val="16"/>
              </w:rPr>
              <w:t xml:space="preserve">5-Year Wage Income</w:t>
            </w:r>
          </w:p>
        </w:tc>
      </w:tr>
    </w:tbl>
    <w:p>
      <w:pPr>
        <w:spacing w:after="200"/>
      </w:pPr>
    </w:p>
    <w:p>
      <w:pPr>
        <w:pStyle w:val="Heading2"/>
        <w:spacing w:after="160" w:before="280"/>
      </w:pPr>
      <w:r>
        <w:rPr>
          <w:rFonts w:ascii="Arial" w:cs="Arial" w:eastAsia="Arial" w:hAnsi="Arial"/>
          <w:b/>
          <w:bCs/>
          <w:color w:val="0D9488"/>
          <w:sz w:val="26"/>
          <w:szCs w:val="26"/>
        </w:rPr>
        <w:t xml:space="preserve">4.2 Compensation Pyramid by Functional Category</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The compensation profile influences both the household-level induced effects modeled here and the tax revenue projections developed in Module M4. Each band below reflects the petitioner's actual compensation policy benchmarked against MSA wage surveys.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200"/>
        <w:gridCol w:w="3760"/>
      </w:tblGrid>
      <w:tr>
        <w:tc>
          <w:tcPr>
            <w:tcW w:type="dxa" w:w="240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Category</w:t>
            </w:r>
          </w:p>
        </w:tc>
        <w:tc>
          <w:tcPr>
            <w:tcW w:type="dxa" w:w="200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Avg. Wage (USD)</w:t>
            </w:r>
          </w:p>
        </w:tc>
        <w:tc>
          <w:tcPr>
            <w:tcW w:type="dxa" w:w="120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Jobs</w:t>
            </w:r>
          </w:p>
        </w:tc>
        <w:tc>
          <w:tcPr>
            <w:tcW w:type="dxa" w:w="376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Description</w:t>
            </w:r>
          </w:p>
        </w:tc>
      </w:tr>
      <w:tr>
        <w:tc>
          <w:tcPr>
            <w:tcW w:type="dxa" w:w="24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Management/Executive</w:t>
            </w:r>
          </w:p>
        </w:tc>
        <w:tc>
          <w:tcPr>
            <w:tcW w:type="dxa" w:w="20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$95,000</w:t>
            </w:r>
          </w:p>
        </w:tc>
        <w:tc>
          <w:tcPr>
            <w:tcW w:type="dxa" w:w="12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18</w:t>
            </w:r>
          </w:p>
        </w:tc>
        <w:tc>
          <w:tcPr>
            <w:tcW w:type="dxa" w:w="37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C-suite, directors, senior managers</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Technology/Analytics</w:t>
            </w:r>
          </w:p>
        </w:tc>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$78,000</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24</w:t>
            </w:r>
          </w:p>
        </w:tc>
        <w:tc>
          <w:tcPr>
            <w:tcW w:type="dxa" w:w="3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Software engineers, data analysts, IT staff</w:t>
            </w:r>
          </w:p>
        </w:tc>
      </w:tr>
      <w:tr>
        <w:tc>
          <w:tcPr>
            <w:tcW w:type="dxa" w:w="24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Operations/Logistics</w:t>
            </w:r>
          </w:p>
        </w:tc>
        <w:tc>
          <w:tcPr>
            <w:tcW w:type="dxa" w:w="20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$52,000</w:t>
            </w:r>
          </w:p>
        </w:tc>
        <w:tc>
          <w:tcPr>
            <w:tcW w:type="dxa" w:w="12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85</w:t>
            </w:r>
          </w:p>
        </w:tc>
        <w:tc>
          <w:tcPr>
            <w:tcW w:type="dxa" w:w="37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Coordinators, specialists, operational roles</w:t>
            </w:r>
          </w:p>
        </w:tc>
      </w:tr>
    </w:tbl>
    <w:p>
      <w:pPr>
        <w:spacing w:after="80"/>
      </w:pPr>
    </w:p>
    <w:p>
      <w:pPr>
        <w:spacing w:after="100" w:line="260"/>
        <w:jc w:val="left"/>
      </w:pPr>
      <w:r>
        <w:rPr>
          <w:rFonts w:ascii="Arial" w:cs="Arial" w:eastAsia="Arial" w:hAnsi="Arial"/>
          <w:i/>
          <w:iCs/>
          <w:color w:val="718096"/>
          <w:sz w:val="18"/>
          <w:szCs w:val="18"/>
        </w:rPr>
        <w:t xml:space="preserve">Average wages are weighted by headcount; values in nominal current USD.</w:t>
      </w:r>
    </w:p>
    <w:p>
      <w:r>
        <w:br w:type="page"/>
      </w:r>
    </w:p>
    <w:p>
      <w:pPr>
        <w:pStyle w:val="Heading1"/>
        <w:spacing w:after="200" w:before="360"/>
      </w:pPr>
      <w:r>
        <w:rPr>
          <w:rFonts w:ascii="Arial" w:cs="Arial" w:eastAsia="Arial" w:hAnsi="Arial"/>
          <w:b/>
          <w:bCs/>
          <w:color w:val="0A1628"/>
          <w:sz w:val="32"/>
          <w:szCs w:val="32"/>
        </w:rPr>
        <w:t xml:space="preserve">5. Module M4 — Tax Revenue Projection (Federal, State &amp; Local)</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Federal, state, and local tax revenues are projected from the petitioner's economic impact over a 5-year period, including personal income tax, corporate profit tax, payroll taxes, sales tax, and property tax contributions.</w:t>
      </w:r>
    </w:p>
    <w:p>
      <w:pPr>
        <w:spacing w:after="200"/>
      </w:pPr>
    </w:p>
    <w:p>
      <w:pPr>
        <w:pStyle w:val="Heading2"/>
        <w:spacing w:after="160" w:before="280"/>
      </w:pPr>
      <w:r>
        <w:rPr>
          <w:rFonts w:ascii="Arial" w:cs="Arial" w:eastAsia="Arial" w:hAnsi="Arial"/>
          <w:b/>
          <w:bCs/>
          <w:color w:val="0D9488"/>
          <w:sz w:val="26"/>
          <w:szCs w:val="26"/>
        </w:rPr>
        <w:t xml:space="preserve">5.1 Tax Revenue Breakdown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Federal Tax:</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$3,200,000</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State Tax:</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D9488"/>
                <w:sz w:val="20"/>
                <w:szCs w:val="20"/>
              </w:rPr>
              <w:t xml:space="preserve">$1,800,000</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Local Tax:</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B7A6E"/>
                <w:sz w:val="20"/>
                <w:szCs w:val="20"/>
              </w:rPr>
              <w:t xml:space="preserve">$1,800,000</w:t>
            </w:r>
          </w:p>
        </w:tc>
      </w:tr>
    </w:tbl>
    <w:p>
      <w:pPr>
        <w:spacing w:after="200"/>
      </w:pPr>
    </w:p>
    <w:p>
      <w:pPr>
        <w:pStyle w:val="Heading2"/>
        <w:spacing w:after="160" w:before="280"/>
      </w:pPr>
      <w:r>
        <w:rPr>
          <w:rFonts w:ascii="Arial" w:cs="Arial" w:eastAsia="Arial" w:hAnsi="Arial"/>
          <w:b/>
          <w:bCs/>
          <w:color w:val="0D9488"/>
          <w:sz w:val="26"/>
          <w:szCs w:val="26"/>
        </w:rPr>
        <w:t xml:space="preserve">5.2 Tax Categories Triggered</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Beyond the consolidated federal/state/local figures, the petitioner's operations trigger collections across multiple statutory tax instruments. The list below catalogs each category captured in the projection.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560"/>
        <w:gridCol w:w="3000"/>
      </w:tblGrid>
      <w:tr>
        <w:tc>
          <w:tcPr>
            <w:tcW w:type="dxa" w:w="80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w:t>
            </w:r>
          </w:p>
        </w:tc>
        <w:tc>
          <w:tcPr>
            <w:tcW w:type="dxa" w:w="556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Tax Type</w:t>
            </w:r>
          </w:p>
        </w:tc>
        <w:tc>
          <w:tcPr>
            <w:tcW w:type="dxa" w:w="300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Applicable Level</w:t>
            </w:r>
          </w:p>
        </w:tc>
      </w:tr>
      <w:tr>
        <w:tc>
          <w:tcPr>
            <w:tcW w:type="dxa" w:w="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1</w:t>
            </w:r>
          </w:p>
        </w:tc>
        <w:tc>
          <w:tcPr>
            <w:tcW w:type="dxa" w:w="55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Income Tax</w:t>
            </w:r>
          </w:p>
        </w:tc>
        <w:tc>
          <w:tcPr>
            <w:tcW w:type="dxa" w:w="30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Federal / State / Local</w:t>
            </w:r>
          </w:p>
        </w:tc>
      </w:tr>
      <w:tr>
        <w:tc>
          <w:tcPr>
            <w:tcW w:type="dxa" w:w="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2</w:t>
            </w:r>
          </w:p>
        </w:tc>
        <w:tc>
          <w:tcPr>
            <w:tcW w:type="dxa" w:w="5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Payroll Tax</w:t>
            </w:r>
          </w:p>
        </w:tc>
        <w:tc>
          <w:tcPr>
            <w:tcW w:type="dxa" w:w="3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Federal / State / Local</w:t>
            </w:r>
          </w:p>
        </w:tc>
      </w:tr>
      <w:tr>
        <w:tc>
          <w:tcPr>
            <w:tcW w:type="dxa" w:w="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3</w:t>
            </w:r>
          </w:p>
        </w:tc>
        <w:tc>
          <w:tcPr>
            <w:tcW w:type="dxa" w:w="55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Sales Tax</w:t>
            </w:r>
          </w:p>
        </w:tc>
        <w:tc>
          <w:tcPr>
            <w:tcW w:type="dxa" w:w="30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Federal / State / Local</w:t>
            </w:r>
          </w:p>
        </w:tc>
      </w:tr>
      <w:tr>
        <w:tc>
          <w:tcPr>
            <w:tcW w:type="dxa" w:w="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4</w:t>
            </w:r>
          </w:p>
        </w:tc>
        <w:tc>
          <w:tcPr>
            <w:tcW w:type="dxa" w:w="5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Property Tax</w:t>
            </w:r>
          </w:p>
        </w:tc>
        <w:tc>
          <w:tcPr>
            <w:tcW w:type="dxa" w:w="3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Federal / State / Local</w:t>
            </w:r>
          </w:p>
        </w:tc>
      </w:tr>
    </w:tbl>
    <w:p>
      <w:r>
        <w:br w:type="page"/>
      </w:r>
    </w:p>
    <w:p>
      <w:pPr>
        <w:pStyle w:val="Heading1"/>
        <w:spacing w:after="200" w:before="360"/>
      </w:pPr>
      <w:r>
        <w:rPr>
          <w:rFonts w:ascii="Arial" w:cs="Arial" w:eastAsia="Arial" w:hAnsi="Arial"/>
          <w:b/>
          <w:bCs/>
          <w:color w:val="0A1628"/>
          <w:sz w:val="32"/>
          <w:szCs w:val="32"/>
        </w:rPr>
        <w:t xml:space="preserve">6. Module M5 — Supply Chain Ecosystem Mapping</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The petitioner's supply chain ecosystem encompasses upstream input providers, logistics partners, distribution channels, and downstream customers. This network multiplies initial investment across the regional economy.</w:t>
      </w:r>
    </w:p>
    <w:p>
      <w:pPr>
        <w:spacing w:after="200"/>
      </w:pPr>
    </w:p>
    <w:p>
      <w:pPr>
        <w:pStyle w:val="Heading2"/>
        <w:spacing w:after="160" w:before="280"/>
      </w:pPr>
      <w:r>
        <w:rPr>
          <w:rFonts w:ascii="Arial" w:cs="Arial" w:eastAsia="Arial" w:hAnsi="Arial"/>
          <w:b/>
          <w:bCs/>
          <w:color w:val="0D9488"/>
          <w:sz w:val="26"/>
          <w:szCs w:val="26"/>
        </w:rPr>
        <w:t xml:space="preserve">6.1 Supply Chain Network Size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Direct Vendors:</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83+</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Indirect Tiers:</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N/A</w:t>
            </w:r>
          </w:p>
        </w:tc>
      </w:tr>
    </w:tbl>
    <w:p>
      <w:pPr>
        <w:spacing w:after="200"/>
      </w:pPr>
    </w:p>
    <w:p>
      <w:pPr>
        <w:pStyle w:val="Heading2"/>
        <w:spacing w:after="160" w:before="280"/>
      </w:pPr>
      <w:r>
        <w:rPr>
          <w:rFonts w:ascii="Arial" w:cs="Arial" w:eastAsia="Arial" w:hAnsi="Arial"/>
          <w:b/>
          <w:bCs/>
          <w:color w:val="0D9488"/>
          <w:sz w:val="26"/>
          <w:szCs w:val="26"/>
        </w:rPr>
        <w:t xml:space="preserve">6.2 Vendor Network Composition</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The vendor matrix below disaggregates the headline supplier count by category, count, and annualized spend. Each row represents a transmission channel through which the petitioner's spending propagates into the regional economy via Type II indirect effects.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600"/>
        <w:gridCol w:w="4160"/>
      </w:tblGrid>
      <w:tr>
        <w:tc>
          <w:tcPr>
            <w:tcW w:type="dxa" w:w="240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Category</w:t>
            </w:r>
          </w:p>
        </w:tc>
        <w:tc>
          <w:tcPr>
            <w:tcW w:type="dxa" w:w="120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Vendors</w:t>
            </w:r>
          </w:p>
        </w:tc>
        <w:tc>
          <w:tcPr>
            <w:tcW w:type="dxa" w:w="160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Annual Spend</w:t>
            </w:r>
          </w:p>
        </w:tc>
        <w:tc>
          <w:tcPr>
            <w:tcW w:type="dxa" w:w="416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Description</w:t>
            </w:r>
          </w:p>
        </w:tc>
      </w:tr>
      <w:tr>
        <w:tc>
          <w:tcPr>
            <w:tcW w:type="dxa" w:w="24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Transportation carriers</w:t>
            </w:r>
          </w:p>
        </w:tc>
        <w:tc>
          <w:tcPr>
            <w:tcW w:type="dxa" w:w="12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25</w:t>
            </w:r>
          </w:p>
        </w:tc>
        <w:tc>
          <w:tcPr>
            <w:tcW w:type="dxa" w:w="16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$3.2M</w:t>
            </w:r>
          </w:p>
        </w:tc>
        <w:tc>
          <w:tcPr>
            <w:tcW w:type="dxa" w:w="41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Trucking, rail, air freight partners</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Technology/SaaS</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12</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$1.8M</w:t>
            </w:r>
          </w:p>
        </w:tc>
        <w:tc>
          <w:tcPr>
            <w:tcW w:type="dxa" w:w="4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Software platforms, API integrations, cloud services</w:t>
            </w:r>
          </w:p>
        </w:tc>
      </w:tr>
      <w:tr>
        <w:tc>
          <w:tcPr>
            <w:tcW w:type="dxa" w:w="24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Consulting &amp; Professional</w:t>
            </w:r>
          </w:p>
        </w:tc>
        <w:tc>
          <w:tcPr>
            <w:tcW w:type="dxa" w:w="12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18</w:t>
            </w:r>
          </w:p>
        </w:tc>
        <w:tc>
          <w:tcPr>
            <w:tcW w:type="dxa" w:w="16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$1.2M</w:t>
            </w:r>
          </w:p>
        </w:tc>
        <w:tc>
          <w:tcPr>
            <w:tcW w:type="dxa" w:w="41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Legal, accounting, business consultants</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Office &amp; Operations</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28</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$0.8M</w:t>
            </w:r>
          </w:p>
        </w:tc>
        <w:tc>
          <w:tcPr>
            <w:tcW w:type="dxa" w:w="4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Supplies, utilities, maintenance</w:t>
            </w:r>
          </w:p>
        </w:tc>
      </w:tr>
    </w:tbl>
    <w:p>
      <w:pPr>
        <w:spacing w:after="80"/>
      </w:pPr>
    </w:p>
    <w:p>
      <w:pPr>
        <w:spacing w:after="100" w:line="260"/>
        <w:jc w:val="left"/>
      </w:pPr>
      <w:r>
        <w:rPr>
          <w:rFonts w:ascii="Arial" w:cs="Arial" w:eastAsia="Arial" w:hAnsi="Arial"/>
          <w:i/>
          <w:iCs/>
          <w:color w:val="718096"/>
          <w:sz w:val="18"/>
          <w:szCs w:val="18"/>
        </w:rPr>
        <w:t xml:space="preserve">Spend reflects direct monetary outflow to vendors; induced effects are modeled in Module M1.</w:t>
      </w:r>
    </w:p>
    <w:p>
      <w:r>
        <w:br w:type="page"/>
      </w:r>
    </w:p>
    <w:p>
      <w:pPr>
        <w:pStyle w:val="Heading1"/>
        <w:spacing w:after="200" w:before="360"/>
      </w:pPr>
      <w:r>
        <w:rPr>
          <w:rFonts w:ascii="Arial" w:cs="Arial" w:eastAsia="Arial" w:hAnsi="Arial"/>
          <w:b/>
          <w:bCs/>
          <w:color w:val="0A1628"/>
          <w:sz w:val="32"/>
          <w:szCs w:val="32"/>
        </w:rPr>
        <w:t xml:space="preserve">7. Module M6 — EPI Employment Multiplier Analysis</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Employment multipliers from the Economic Policy Institute (EPI) demonstrate that each direct job supported by the petitioner generates additional employment across the supply chain and consumer spending sectors.</w:t>
      </w:r>
    </w:p>
    <w:p>
      <w:pPr>
        <w:spacing w:after="200"/>
      </w:pPr>
    </w:p>
    <w:p>
      <w:pPr>
        <w:pStyle w:val="Heading2"/>
        <w:spacing w:after="160" w:before="280"/>
      </w:pPr>
      <w:r>
        <w:rPr>
          <w:rFonts w:ascii="Arial" w:cs="Arial" w:eastAsia="Arial" w:hAnsi="Arial"/>
          <w:b/>
          <w:bCs/>
          <w:color w:val="0D9488"/>
          <w:sz w:val="26"/>
          <w:szCs w:val="26"/>
        </w:rPr>
        <w:t xml:space="preserve">7.1 Innovation &amp; R&amp;D Investment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5AD5" w:sz="8"/>
              <w:left w:val="none" w:color="FFFFFF" w:sz="0"/>
              <w:bottom w:val="none" w:color="FFFFFF" w:sz="0"/>
              <w:right w:val="none" w:color="FFFFFF" w:sz="0"/>
            </w:tcBorders>
            <w:shd w:fill="F8FAFB" w:val="clear"/>
            <w:tcMar>
              <w:top w:type="dxa" w:w="120"/>
              <w:left w:type="dxa" w:w="160"/>
              <w:bottom w:type="dxa" w:w="120"/>
              <w:right w:type="dxa" w:w="160"/>
            </w:tcMar>
          </w:tcPr>
          <w:p>
            <w:pPr>
              <w:spacing w:after="40"/>
              <w:jc w:val="center"/>
            </w:pPr>
            <w:r>
              <w:rPr>
                <w:rFonts w:ascii="Arial" w:cs="Arial" w:eastAsia="Arial" w:hAnsi="Arial"/>
                <w:b/>
                <w:bCs/>
                <w:color w:val="805AD5"/>
                <w:sz w:val="40"/>
                <w:szCs w:val="40"/>
              </w:rPr>
              <w:t xml:space="preserve">$192,000</w:t>
            </w:r>
          </w:p>
          <w:p>
            <w:pPr>
              <w:spacing w:after="20"/>
              <w:jc w:val="center"/>
            </w:pPr>
            <w:r>
              <w:rPr>
                <w:rFonts w:ascii="Arial" w:cs="Arial" w:eastAsia="Arial" w:hAnsi="Arial"/>
                <w:color w:val="4A5568"/>
                <w:sz w:val="18"/>
                <w:szCs w:val="18"/>
              </w:rPr>
              <w:t xml:space="preserve">Technology Transfer</w:t>
            </w:r>
          </w:p>
          <w:p>
            <w:pPr>
              <w:jc w:val="center"/>
            </w:pPr>
            <w:r>
              <w:rPr>
                <w:rFonts w:ascii="Arial" w:cs="Arial" w:eastAsia="Arial" w:hAnsi="Arial"/>
                <w:color w:val="718096"/>
                <w:sz w:val="16"/>
                <w:szCs w:val="16"/>
              </w:rPr>
              <w:t xml:space="preserve">R&amp;D Investment (Annual)</w:t>
            </w:r>
          </w:p>
        </w:tc>
      </w:tr>
    </w:tbl>
    <w:p>
      <w:pPr>
        <w:spacing w:after="200"/>
      </w:pPr>
    </w:p>
    <w:p>
      <w:pPr>
        <w:pStyle w:val="Heading2"/>
        <w:spacing w:after="160" w:before="280"/>
      </w:pPr>
      <w:r>
        <w:rPr>
          <w:rFonts w:ascii="Arial" w:cs="Arial" w:eastAsia="Arial" w:hAnsi="Arial"/>
          <w:b/>
          <w:bCs/>
          <w:color w:val="0D9488"/>
          <w:sz w:val="26"/>
          <w:szCs w:val="26"/>
        </w:rPr>
        <w:t xml:space="preserve">7.2 Catalog of Implemented Innovations</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The innovations below operationalize the petitioner's R&amp;D investment. Each entry pairs a discrete technical contribution with a measurable economic impact, supplying the causal mechanism behind the multipliers reported in Module M1.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160"/>
        <w:gridCol w:w="1000"/>
      </w:tblGrid>
      <w:tr>
        <w:tc>
          <w:tcPr>
            <w:tcW w:type="dxa" w:w="220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Innovation</w:t>
            </w:r>
          </w:p>
        </w:tc>
        <w:tc>
          <w:tcPr>
            <w:tcW w:type="dxa" w:w="300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Description</w:t>
            </w:r>
          </w:p>
        </w:tc>
        <w:tc>
          <w:tcPr>
            <w:tcW w:type="dxa" w:w="316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Measurable Impact</w:t>
            </w:r>
          </w:p>
        </w:tc>
        <w:tc>
          <w:tcPr>
            <w:tcW w:type="dxa" w:w="100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Year</w:t>
            </w:r>
          </w:p>
        </w:tc>
      </w:tr>
      <w:tr>
        <w:tc>
          <w:tcPr>
            <w:tcW w:type="dxa" w:w="22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AI-driven shipment consolidation</w:t>
            </w:r>
          </w:p>
        </w:tc>
        <w:tc>
          <w:tcPr>
            <w:tcW w:type="dxa" w:w="30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Machine learning algorithm that predicts optimal shipment consolidation to reduce transportation costs</w:t>
            </w:r>
          </w:p>
        </w:tc>
        <w:tc>
          <w:tcPr>
            <w:tcW w:type="dxa" w:w="31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Reduces transportation costs 12-18% industry-wide; enables 2-3 patent filings</w:t>
            </w:r>
          </w:p>
        </w:tc>
        <w:tc>
          <w:tcPr>
            <w:tcW w:type="dxa" w:w="10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2024</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Real-time multi-carrier orchestration</w:t>
            </w:r>
          </w:p>
        </w:tc>
        <w:tc>
          <w:tcPr>
            <w:tcW w:type="dxa" w:w="3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API-based platform for real-time carrier selection and route optimization across 50+ carriers</w:t>
            </w:r>
          </w:p>
        </w:tc>
        <w:tc>
          <w:tcPr>
            <w:tcW w:type="dxa" w:w="3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Reduces empty miles 18-24%; improves service speed 15-20%</w:t>
            </w:r>
          </w:p>
        </w:tc>
        <w:tc>
          <w:tcPr>
            <w:tcW w:type="dxa" w:w="1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2025</w:t>
            </w:r>
          </w:p>
        </w:tc>
      </w:tr>
      <w:tr>
        <w:tc>
          <w:tcPr>
            <w:tcW w:type="dxa" w:w="22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Bilingual supply chain network</w:t>
            </w:r>
          </w:p>
        </w:tc>
        <w:tc>
          <w:tcPr>
            <w:tcW w:type="dxa" w:w="30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First integrated 4PL platform with Portuguese/Spanish/English capability for North America trade</w:t>
            </w:r>
          </w:p>
        </w:tc>
        <w:tc>
          <w:tcPr>
            <w:tcW w:type="dxa" w:w="31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Opens new market segment; bridges $89.5B bilateral trade corridor</w:t>
            </w:r>
          </w:p>
        </w:tc>
        <w:tc>
          <w:tcPr>
            <w:tcW w:type="dxa" w:w="10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2023</w:t>
            </w:r>
          </w:p>
        </w:tc>
      </w:tr>
    </w:tbl>
    <w:p>
      <w:pPr>
        <w:spacing w:after="120"/>
      </w:pPr>
    </w:p>
    <w:p>
      <w:pPr>
        <w:spacing w:after="120" w:before="200"/>
      </w:pPr>
      <w:r>
        <w:rPr>
          <w:rFonts w:ascii="Arial" w:cs="Arial" w:eastAsia="Arial" w:hAnsi="Arial"/>
          <w:b/>
          <w:bCs/>
          <w:color w:val="0B7A6E"/>
          <w:sz w:val="22"/>
          <w:szCs w:val="22"/>
        </w:rPr>
        <w:t xml:space="preserve">7.2.1 AI-driven shipment consolidation</w:t>
      </w:r>
    </w:p>
    <w:p>
      <w:pPr>
        <w:spacing w:after="120" w:line="276"/>
        <w:jc w:val="both"/>
      </w:pPr>
      <w:r>
        <w:rPr>
          <w:rFonts w:ascii="Arial" w:cs="Arial" w:eastAsia="Arial" w:hAnsi="Arial"/>
          <w:b w:val="false"/>
          <w:bCs w:val="false"/>
          <w:i w:val="false"/>
          <w:iCs w:val="false"/>
          <w:color w:val="1A202C"/>
          <w:sz w:val="21"/>
          <w:szCs w:val="21"/>
        </w:rPr>
        <w:t xml:space="preserve">Machine learning algorithm that predicts optimal shipment consolidation to reduce transportation costs</w:t>
      </w:r>
    </w:p>
    <w:p>
      <w:pPr>
        <w:spacing w:after="120" w:line="276"/>
        <w:jc w:val="both"/>
      </w:pPr>
      <w:r>
        <w:rPr>
          <w:rFonts w:ascii="Arial" w:cs="Arial" w:eastAsia="Arial" w:hAnsi="Arial"/>
          <w:b w:val="false"/>
          <w:bCs w:val="false"/>
          <w:i w:val="false"/>
          <w:iCs w:val="false"/>
          <w:color w:val="1A202C"/>
          <w:sz w:val="21"/>
          <w:szCs w:val="21"/>
        </w:rPr>
        <w:t xml:space="preserve">Impact: Reduces transportation costs 12-18% industry-wide; enables 2-3 patent filings</w:t>
      </w:r>
    </w:p>
    <w:p>
      <w:pPr>
        <w:spacing w:after="120"/>
      </w:pPr>
    </w:p>
    <w:p>
      <w:pPr>
        <w:spacing w:after="120" w:before="200"/>
      </w:pPr>
      <w:r>
        <w:rPr>
          <w:rFonts w:ascii="Arial" w:cs="Arial" w:eastAsia="Arial" w:hAnsi="Arial"/>
          <w:b/>
          <w:bCs/>
          <w:color w:val="0B7A6E"/>
          <w:sz w:val="22"/>
          <w:szCs w:val="22"/>
        </w:rPr>
        <w:t xml:space="preserve">7.2.2 Real-time multi-carrier orchestration</w:t>
      </w:r>
    </w:p>
    <w:p>
      <w:pPr>
        <w:spacing w:after="120" w:line="276"/>
        <w:jc w:val="both"/>
      </w:pPr>
      <w:r>
        <w:rPr>
          <w:rFonts w:ascii="Arial" w:cs="Arial" w:eastAsia="Arial" w:hAnsi="Arial"/>
          <w:b w:val="false"/>
          <w:bCs w:val="false"/>
          <w:i w:val="false"/>
          <w:iCs w:val="false"/>
          <w:color w:val="1A202C"/>
          <w:sz w:val="21"/>
          <w:szCs w:val="21"/>
        </w:rPr>
        <w:t xml:space="preserve">API-based platform for real-time carrier selection and route optimization across 50+ carriers</w:t>
      </w:r>
    </w:p>
    <w:p>
      <w:pPr>
        <w:spacing w:after="120" w:line="276"/>
        <w:jc w:val="both"/>
      </w:pPr>
      <w:r>
        <w:rPr>
          <w:rFonts w:ascii="Arial" w:cs="Arial" w:eastAsia="Arial" w:hAnsi="Arial"/>
          <w:b w:val="false"/>
          <w:bCs w:val="false"/>
          <w:i w:val="false"/>
          <w:iCs w:val="false"/>
          <w:color w:val="1A202C"/>
          <w:sz w:val="21"/>
          <w:szCs w:val="21"/>
        </w:rPr>
        <w:t xml:space="preserve">Impact: Reduces empty miles 18-24%; improves service speed 15-20%</w:t>
      </w:r>
    </w:p>
    <w:p>
      <w:pPr>
        <w:spacing w:after="120"/>
      </w:pPr>
    </w:p>
    <w:p>
      <w:pPr>
        <w:spacing w:after="120" w:before="200"/>
      </w:pPr>
      <w:r>
        <w:rPr>
          <w:rFonts w:ascii="Arial" w:cs="Arial" w:eastAsia="Arial" w:hAnsi="Arial"/>
          <w:b/>
          <w:bCs/>
          <w:color w:val="0B7A6E"/>
          <w:sz w:val="22"/>
          <w:szCs w:val="22"/>
        </w:rPr>
        <w:t xml:space="preserve">7.2.3 Bilingual supply chain network</w:t>
      </w:r>
    </w:p>
    <w:p>
      <w:pPr>
        <w:spacing w:after="120" w:line="276"/>
        <w:jc w:val="both"/>
      </w:pPr>
      <w:r>
        <w:rPr>
          <w:rFonts w:ascii="Arial" w:cs="Arial" w:eastAsia="Arial" w:hAnsi="Arial"/>
          <w:b w:val="false"/>
          <w:bCs w:val="false"/>
          <w:i w:val="false"/>
          <w:iCs w:val="false"/>
          <w:color w:val="1A202C"/>
          <w:sz w:val="21"/>
          <w:szCs w:val="21"/>
        </w:rPr>
        <w:t xml:space="preserve">First integrated 4PL platform with Portuguese/Spanish/English capability for North America trade</w:t>
      </w:r>
    </w:p>
    <w:p>
      <w:pPr>
        <w:spacing w:after="120" w:line="276"/>
        <w:jc w:val="both"/>
      </w:pPr>
      <w:r>
        <w:rPr>
          <w:rFonts w:ascii="Arial" w:cs="Arial" w:eastAsia="Arial" w:hAnsi="Arial"/>
          <w:b w:val="false"/>
          <w:bCs w:val="false"/>
          <w:i w:val="false"/>
          <w:iCs w:val="false"/>
          <w:color w:val="1A202C"/>
          <w:sz w:val="21"/>
          <w:szCs w:val="21"/>
        </w:rPr>
        <w:t xml:space="preserve">Impact: Opens new market segment; bridges $89.5B bilateral trade corridor</w:t>
      </w:r>
    </w:p>
    <w:p>
      <w:pPr>
        <w:spacing w:after="200"/>
      </w:pPr>
    </w:p>
    <w:p>
      <w:pPr>
        <w:pStyle w:val="Heading2"/>
        <w:spacing w:after="160" w:before="280"/>
      </w:pPr>
      <w:r>
        <w:rPr>
          <w:rFonts w:ascii="Arial" w:cs="Arial" w:eastAsia="Arial" w:hAnsi="Arial"/>
          <w:b/>
          <w:bCs/>
          <w:color w:val="0D9488"/>
          <w:sz w:val="26"/>
          <w:szCs w:val="26"/>
        </w:rPr>
        <w:t xml:space="preserve">7.3 Protected Trade Secrets</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Each protected asset below represents proprietary know-how whose disclosure would erode the petitioner's competitive moat. Trade secrets are catalogued descriptively to preserve confidentiality.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w:t>
            </w:r>
          </w:p>
        </w:tc>
        <w:tc>
          <w:tcPr>
            <w:tcW w:type="dxa" w:w="856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Asset Description</w:t>
            </w:r>
          </w:p>
        </w:tc>
      </w:tr>
      <w:tr>
        <w:tc>
          <w:tcPr>
            <w:tcW w:type="dxa" w:w="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1</w:t>
            </w:r>
          </w:p>
        </w:tc>
        <w:tc>
          <w:tcPr>
            <w:tcW w:type="dxa" w:w="85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Proprietary shipment consolidation algorithm</w:t>
            </w:r>
          </w:p>
        </w:tc>
      </w:tr>
      <w:tr>
        <w:tc>
          <w:tcPr>
            <w:tcW w:type="dxa" w:w="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2</w:t>
            </w:r>
          </w:p>
        </w:tc>
        <w:tc>
          <w:tcPr>
            <w:tcW w:type="dxa" w:w="8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Multi-modal optimization framework</w:t>
            </w:r>
          </w:p>
        </w:tc>
      </w:tr>
      <w:tr>
        <w:tc>
          <w:tcPr>
            <w:tcW w:type="dxa" w:w="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3</w:t>
            </w:r>
          </w:p>
        </w:tc>
        <w:tc>
          <w:tcPr>
            <w:tcW w:type="dxa" w:w="85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Carrier performance prediction model</w:t>
            </w:r>
          </w:p>
        </w:tc>
      </w:tr>
    </w:tbl>
    <w:p>
      <w:r>
        <w:br w:type="page"/>
      </w:r>
    </w:p>
    <w:p>
      <w:pPr>
        <w:pStyle w:val="Heading1"/>
        <w:spacing w:after="200" w:before="360"/>
      </w:pPr>
      <w:r>
        <w:rPr>
          <w:rFonts w:ascii="Arial" w:cs="Arial" w:eastAsia="Arial" w:hAnsi="Arial"/>
          <w:b/>
          <w:bCs/>
          <w:color w:val="0A1628"/>
          <w:sz w:val="32"/>
          <w:szCs w:val="32"/>
        </w:rPr>
        <w:t xml:space="preserve">8. Module M7 — Policy &amp; National Priority Alignment</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The petitioner's operations align with multiple federal policy priorities including workforce development, regional economic competitiveness, trade facilitation, and strategic industry advancement.</w:t>
      </w:r>
    </w:p>
    <w:p>
      <w:pPr>
        <w:spacing w:after="200"/>
      </w:pPr>
    </w:p>
    <w:p>
      <w:pPr>
        <w:pStyle w:val="Heading2"/>
        <w:spacing w:after="160" w:before="280"/>
      </w:pPr>
      <w:r>
        <w:rPr>
          <w:rFonts w:ascii="Arial" w:cs="Arial" w:eastAsia="Arial" w:hAnsi="Arial"/>
          <w:b/>
          <w:bCs/>
          <w:color w:val="0D9488"/>
          <w:sz w:val="26"/>
          <w:szCs w:val="26"/>
        </w:rPr>
        <w:t xml:space="preserve">8.1 Industry Positioning</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Luciano Costa Ricci's company demonstrates superior growth, profitability, and operational efficiency compared to industry peers, driven by proprietary technology and bilingual market positioning.</w:t>
      </w:r>
    </w:p>
    <w:p>
      <w:pPr>
        <w:spacing w:after="200"/>
      </w:pPr>
    </w:p>
    <w:p>
      <w:pPr>
        <w:pStyle w:val="Heading2"/>
        <w:spacing w:after="160" w:before="280"/>
      </w:pPr>
      <w:r>
        <w:rPr>
          <w:rFonts w:ascii="Arial" w:cs="Arial" w:eastAsia="Arial" w:hAnsi="Arial"/>
          <w:b/>
          <w:bCs/>
          <w:color w:val="0D9488"/>
          <w:sz w:val="26"/>
          <w:szCs w:val="26"/>
        </w:rPr>
        <w:t xml:space="preserve">8.2 Quantitative Comparison Against Sector Peers</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The benchmarks below contrast the petitioner's operational performance with the industry baseline drawn from comparable firms in the same NAICS classification. Outperformance is highlighted where it materially affects the multipliers used elsewhere in this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c>
          <w:tcPr>
            <w:tcW w:type="dxa" w:w="300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Metric</w:t>
            </w:r>
          </w:p>
        </w:tc>
        <w:tc>
          <w:tcPr>
            <w:tcW w:type="dxa" w:w="212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Petitioner</w:t>
            </w:r>
          </w:p>
        </w:tc>
        <w:tc>
          <w:tcPr>
            <w:tcW w:type="dxa" w:w="212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Industry Benchmark</w:t>
            </w:r>
          </w:p>
        </w:tc>
        <w:tc>
          <w:tcPr>
            <w:tcW w:type="dxa" w:w="212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Delta</w:t>
            </w:r>
          </w:p>
        </w:tc>
      </w:tr>
      <w:tr>
        <w:tc>
          <w:tcPr>
            <w:tcW w:type="dxa" w:w="30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Revenue Growth Rate (3-year CAGR)</w:t>
            </w:r>
          </w:p>
        </w:tc>
        <w:tc>
          <w:tcPr>
            <w:tcW w:type="dxa" w:w="212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125% | Significantly outperforms</w:t>
            </w:r>
          </w:p>
        </w:tc>
        <w:tc>
          <w:tcPr>
            <w:tcW w:type="dxa" w:w="212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w:t>
            </w:r>
          </w:p>
        </w:tc>
        <w:tc>
          <w:tcPr>
            <w:tcW w:type="dxa" w:w="212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w:t>
            </w:r>
          </w:p>
        </w:tc>
      </w:tr>
      <w:tr>
        <w:tc>
          <w:tcPr>
            <w:tcW w:type="dxa" w:w="3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Employee Productivity (Revenue per FTE)</w:t>
            </w:r>
          </w:p>
        </w:tc>
        <w:tc>
          <w:tcPr>
            <w:tcW w:type="dxa" w:w="2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$150,000 | Above industry standard</w:t>
            </w:r>
          </w:p>
        </w:tc>
        <w:tc>
          <w:tcPr>
            <w:tcW w:type="dxa" w:w="2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w:t>
            </w:r>
          </w:p>
        </w:tc>
        <w:tc>
          <w:tcPr>
            <w:tcW w:type="dxa" w:w="2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w:t>
            </w:r>
          </w:p>
        </w:tc>
      </w:tr>
      <w:tr>
        <w:tc>
          <w:tcPr>
            <w:tcW w:type="dxa" w:w="30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Operating Margin</w:t>
            </w:r>
          </w:p>
        </w:tc>
        <w:tc>
          <w:tcPr>
            <w:tcW w:type="dxa" w:w="212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18-22% | Superior efficiency</w:t>
            </w:r>
          </w:p>
        </w:tc>
        <w:tc>
          <w:tcPr>
            <w:tcW w:type="dxa" w:w="212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w:t>
            </w:r>
          </w:p>
        </w:tc>
        <w:tc>
          <w:tcPr>
            <w:tcW w:type="dxa" w:w="212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w:t>
            </w:r>
          </w:p>
        </w:tc>
      </w:tr>
    </w:tbl>
    <w:p>
      <w:r>
        <w:br w:type="page"/>
      </w:r>
    </w:p>
    <w:p>
      <w:pPr>
        <w:pStyle w:val="Heading1"/>
        <w:spacing w:after="200" w:before="360"/>
      </w:pPr>
      <w:r>
        <w:rPr>
          <w:rFonts w:ascii="Arial" w:cs="Arial" w:eastAsia="Arial" w:hAnsi="Arial"/>
          <w:b/>
          <w:bCs/>
          <w:color w:val="0A1628"/>
          <w:sz w:val="32"/>
          <w:szCs w:val="32"/>
        </w:rPr>
        <w:t xml:space="preserve">9. Module M8 — Comparative Regional Advantage</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Comparative analysis reveals that the Orlando-Kissimmee-Sanford region benefits from the petitioner's presence relative to peer regions and national benchmarks in similar industries.</w:t>
      </w:r>
    </w:p>
    <w:p>
      <w:pPr>
        <w:spacing w:after="200"/>
      </w:pPr>
    </w:p>
    <w:p>
      <w:pPr>
        <w:pStyle w:val="Heading2"/>
        <w:spacing w:after="160" w:before="280"/>
      </w:pPr>
      <w:r>
        <w:rPr>
          <w:rFonts w:ascii="Arial" w:cs="Arial" w:eastAsia="Arial" w:hAnsi="Arial"/>
          <w:b/>
          <w:bCs/>
          <w:color w:val="0D9488"/>
          <w:sz w:val="26"/>
          <w:szCs w:val="26"/>
        </w:rPr>
        <w:t xml:space="preserve">9.1 Strategic Alignment</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The petitioner's operations advance critical national priorities in supply chain resilience, logistics innovation, and regional economic development.</w:t>
      </w:r>
    </w:p>
    <w:p>
      <w:pPr>
        <w:spacing w:after="200"/>
      </w:pPr>
    </w:p>
    <w:p>
      <w:pPr>
        <w:pStyle w:val="Heading2"/>
        <w:spacing w:after="160" w:before="280"/>
      </w:pPr>
      <w:r>
        <w:rPr>
          <w:rFonts w:ascii="Arial" w:cs="Arial" w:eastAsia="Arial" w:hAnsi="Arial"/>
          <w:b/>
          <w:bCs/>
          <w:color w:val="0D9488"/>
          <w:sz w:val="26"/>
          <w:szCs w:val="26"/>
        </w:rPr>
        <w:t xml:space="preserve">9.2 Alignment with Federal Executive Orders</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The petitioner's operations directly intersect with the executive orders catalogued below. Each row maps a specific policy mandate to the operational dimension of the petition that satisfies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Executive Order</w:t>
            </w:r>
          </w:p>
        </w:tc>
        <w:tc>
          <w:tcPr>
            <w:tcW w:type="dxa" w:w="180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Alignment</w:t>
            </w:r>
          </w:p>
        </w:tc>
        <w:tc>
          <w:tcPr>
            <w:tcW w:type="dxa" w:w="456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Linkage Description</w:t>
            </w:r>
          </w:p>
        </w:tc>
      </w:tr>
      <w:tr>
        <w:tc>
          <w:tcPr>
            <w:tcW w:type="dxa" w:w="30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EO 14017 - America's Supply Chains</w:t>
            </w:r>
          </w:p>
        </w:tc>
        <w:tc>
          <w:tcPr>
            <w:tcW w:type="dxa" w:w="1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Direct</w:t>
            </w:r>
          </w:p>
        </w:tc>
        <w:tc>
          <w:tcPr>
            <w:tcW w:type="dxa" w:w="45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Resilience and strength of supply chains; critical infrastructure protection</w:t>
            </w:r>
          </w:p>
        </w:tc>
      </w:tr>
      <w:tr>
        <w:tc>
          <w:tcPr>
            <w:tcW w:type="dxa" w:w="3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EO 14008 - Clean Energy and Climate Crisis</w:t>
            </w:r>
          </w:p>
        </w:tc>
        <w:tc>
          <w:tcPr>
            <w:tcW w:type="dxa" w:w="1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Contributing</w:t>
            </w:r>
          </w:p>
        </w:tc>
        <w:tc>
          <w:tcPr>
            <w:tcW w:type="dxa" w:w="4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Reduced empty miles = reduced fuel consumption and CO2 emissions</w:t>
            </w:r>
          </w:p>
        </w:tc>
      </w:tr>
      <w:tr>
        <w:tc>
          <w:tcPr>
            <w:tcW w:type="dxa" w:w="30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EO 14052 - Supply Chain Resilience</w:t>
            </w:r>
          </w:p>
        </w:tc>
        <w:tc>
          <w:tcPr>
            <w:tcW w:type="dxa" w:w="1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Direct</w:t>
            </w:r>
          </w:p>
        </w:tc>
        <w:tc>
          <w:tcPr>
            <w:tcW w:type="dxa" w:w="45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Diversification of logistics providers; support for minority-owned carriers</w:t>
            </w:r>
          </w:p>
        </w:tc>
      </w:tr>
    </w:tbl>
    <w:p>
      <w:pPr>
        <w:spacing w:after="200"/>
      </w:pPr>
    </w:p>
    <w:p>
      <w:pPr>
        <w:pStyle w:val="Heading2"/>
        <w:spacing w:after="160" w:before="280"/>
      </w:pPr>
      <w:r>
        <w:rPr>
          <w:rFonts w:ascii="Arial" w:cs="Arial" w:eastAsia="Arial" w:hAnsi="Arial"/>
          <w:b/>
          <w:bCs/>
          <w:color w:val="0D9488"/>
          <w:sz w:val="26"/>
          <w:szCs w:val="26"/>
        </w:rPr>
        <w:t xml:space="preserve">9.3 Federal Priorities Addressed</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The federal-level priorities below were drawn from publicly available agency strategic plans and policy directives. Each item below is materially advanced by the petitioner's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w:t>
            </w:r>
          </w:p>
        </w:tc>
        <w:tc>
          <w:tcPr>
            <w:tcW w:type="dxa" w:w="856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Federal Priority</w:t>
            </w:r>
          </w:p>
        </w:tc>
      </w:tr>
      <w:tr>
        <w:tc>
          <w:tcPr>
            <w:tcW w:type="dxa" w:w="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1</w:t>
            </w:r>
          </w:p>
        </w:tc>
        <w:tc>
          <w:tcPr>
            <w:tcW w:type="dxa" w:w="85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Supply chain resilience and diversification</w:t>
            </w:r>
          </w:p>
        </w:tc>
      </w:tr>
      <w:tr>
        <w:tc>
          <w:tcPr>
            <w:tcW w:type="dxa" w:w="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2</w:t>
            </w:r>
          </w:p>
        </w:tc>
        <w:tc>
          <w:tcPr>
            <w:tcW w:type="dxa" w:w="8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Job creation and workforce development</w:t>
            </w:r>
          </w:p>
        </w:tc>
      </w:tr>
      <w:tr>
        <w:tc>
          <w:tcPr>
            <w:tcW w:type="dxa" w:w="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3</w:t>
            </w:r>
          </w:p>
        </w:tc>
        <w:tc>
          <w:tcPr>
            <w:tcW w:type="dxa" w:w="85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Technology and innovation in logistics</w:t>
            </w:r>
          </w:p>
        </w:tc>
      </w:tr>
      <w:tr>
        <w:tc>
          <w:tcPr>
            <w:tcW w:type="dxa" w:w="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4</w:t>
            </w:r>
          </w:p>
        </w:tc>
        <w:tc>
          <w:tcPr>
            <w:tcW w:type="dxa" w:w="8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Support for small and minority-owned businesses</w:t>
            </w:r>
          </w:p>
        </w:tc>
      </w:tr>
    </w:tbl>
    <w:p>
      <w:pPr>
        <w:spacing w:after="200"/>
      </w:pPr>
    </w:p>
    <w:p>
      <w:pPr>
        <w:pStyle w:val="Heading2"/>
        <w:spacing w:after="160" w:before="280"/>
      </w:pPr>
      <w:r>
        <w:rPr>
          <w:rFonts w:ascii="Arial" w:cs="Arial" w:eastAsia="Arial" w:hAnsi="Arial"/>
          <w:b/>
          <w:bCs/>
          <w:color w:val="0D9488"/>
          <w:sz w:val="26"/>
          <w:szCs w:val="26"/>
        </w:rPr>
        <w:t xml:space="preserve">9.4 State Priorities Addressed</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At the state level, the petitioner's footprint advances each of the priorities catalogued below, as articulated in current state economic development planning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w:t>
            </w:r>
          </w:p>
        </w:tc>
        <w:tc>
          <w:tcPr>
            <w:tcW w:type="dxa" w:w="856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State Priority</w:t>
            </w:r>
          </w:p>
        </w:tc>
      </w:tr>
      <w:tr>
        <w:tc>
          <w:tcPr>
            <w:tcW w:type="dxa" w:w="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1</w:t>
            </w:r>
          </w:p>
        </w:tc>
        <w:tc>
          <w:tcPr>
            <w:tcW w:type="dxa" w:w="85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Economic development and business growth</w:t>
            </w:r>
          </w:p>
        </w:tc>
      </w:tr>
      <w:tr>
        <w:tc>
          <w:tcPr>
            <w:tcW w:type="dxa" w:w="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2</w:t>
            </w:r>
          </w:p>
        </w:tc>
        <w:tc>
          <w:tcPr>
            <w:tcW w:type="dxa" w:w="8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Workforce training and certification</w:t>
            </w:r>
          </w:p>
        </w:tc>
      </w:tr>
      <w:tr>
        <w:tc>
          <w:tcPr>
            <w:tcW w:type="dxa" w:w="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3</w:t>
            </w:r>
          </w:p>
        </w:tc>
        <w:tc>
          <w:tcPr>
            <w:tcW w:type="dxa" w:w="85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International trade facilitation</w:t>
            </w:r>
          </w:p>
        </w:tc>
      </w:tr>
      <w:tr>
        <w:tc>
          <w:tcPr>
            <w:tcW w:type="dxa" w:w="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4</w:t>
            </w:r>
          </w:p>
        </w:tc>
        <w:tc>
          <w:tcPr>
            <w:tcW w:type="dxa" w:w="8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Supply chain competitiveness</w:t>
            </w:r>
          </w:p>
        </w:tc>
      </w:tr>
    </w:tbl>
    <w:p>
      <w:pPr>
        <w:spacing w:after="200"/>
      </w:pPr>
    </w:p>
    <w:p>
      <w:pPr>
        <w:pStyle w:val="Heading2"/>
        <w:spacing w:after="160" w:before="280"/>
      </w:pPr>
      <w:r>
        <w:rPr>
          <w:rFonts w:ascii="Arial" w:cs="Arial" w:eastAsia="Arial" w:hAnsi="Arial"/>
          <w:b/>
          <w:bCs/>
          <w:color w:val="0D9488"/>
          <w:sz w:val="26"/>
          <w:szCs w:val="26"/>
        </w:rPr>
        <w:t xml:space="preserve">9.5 Local (MSA) Priorities Addressed</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Local priorities reflect MSA-specific economic development objectives that are directly served by the petitioner's presence and operational footprint within the region.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w:t>
            </w:r>
          </w:p>
        </w:tc>
        <w:tc>
          <w:tcPr>
            <w:tcW w:type="dxa" w:w="856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Local Priority</w:t>
            </w:r>
          </w:p>
        </w:tc>
      </w:tr>
      <w:tr>
        <w:tc>
          <w:tcPr>
            <w:tcW w:type="dxa" w:w="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1</w:t>
            </w:r>
          </w:p>
        </w:tc>
        <w:tc>
          <w:tcPr>
            <w:tcW w:type="dxa" w:w="85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Job creation in Orlando MSA</w:t>
            </w:r>
          </w:p>
        </w:tc>
      </w:tr>
      <w:tr>
        <w:tc>
          <w:tcPr>
            <w:tcW w:type="dxa" w:w="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2</w:t>
            </w:r>
          </w:p>
        </w:tc>
        <w:tc>
          <w:tcPr>
            <w:tcW w:type="dxa" w:w="8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Small business support</w:t>
            </w:r>
          </w:p>
        </w:tc>
      </w:tr>
      <w:tr>
        <w:tc>
          <w:tcPr>
            <w:tcW w:type="dxa" w:w="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3</w:t>
            </w:r>
          </w:p>
        </w:tc>
        <w:tc>
          <w:tcPr>
            <w:tcW w:type="dxa" w:w="85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Workforce development</w:t>
            </w:r>
          </w:p>
        </w:tc>
      </w:tr>
    </w:tbl>
    <w:p>
      <w:pPr>
        <w:spacing w:after="200"/>
      </w:pPr>
    </w:p>
    <w:p>
      <w:pPr>
        <w:pStyle w:val="Heading2"/>
        <w:spacing w:after="160" w:before="280"/>
      </w:pPr>
      <w:r>
        <w:rPr>
          <w:rFonts w:ascii="Arial" w:cs="Arial" w:eastAsia="Arial" w:hAnsi="Arial"/>
          <w:b/>
          <w:bCs/>
          <w:color w:val="0D9488"/>
          <w:sz w:val="26"/>
          <w:szCs w:val="26"/>
        </w:rPr>
        <w:t xml:space="preserve">9.6 Eligibility to Applicable SBA Programs</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The Small Business Administration programs below are either currently leveraged by the petitioner or represent active eligibility pathways that reinforce the public-interest dimension of the petition.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w:t>
            </w:r>
          </w:p>
        </w:tc>
        <w:tc>
          <w:tcPr>
            <w:tcW w:type="dxa" w:w="856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SBA Program</w:t>
            </w:r>
          </w:p>
        </w:tc>
      </w:tr>
      <w:tr>
        <w:tc>
          <w:tcPr>
            <w:tcW w:type="dxa" w:w="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1</w:t>
            </w:r>
          </w:p>
        </w:tc>
        <w:tc>
          <w:tcPr>
            <w:tcW w:type="dxa" w:w="85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HUBZone certification (if applicable)</w:t>
            </w:r>
          </w:p>
        </w:tc>
      </w:tr>
      <w:tr>
        <w:tc>
          <w:tcPr>
            <w:tcW w:type="dxa" w:w="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2</w:t>
            </w:r>
          </w:p>
        </w:tc>
        <w:tc>
          <w:tcPr>
            <w:tcW w:type="dxa" w:w="8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8(a) Business Development</w:t>
            </w:r>
          </w:p>
        </w:tc>
      </w:tr>
      <w:tr>
        <w:tc>
          <w:tcPr>
            <w:tcW w:type="dxa" w:w="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3</w:t>
            </w:r>
          </w:p>
        </w:tc>
        <w:tc>
          <w:tcPr>
            <w:tcW w:type="dxa" w:w="85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Woman-Owned Small Business (if applicable)</w:t>
            </w:r>
          </w:p>
        </w:tc>
      </w:tr>
    </w:tbl>
    <w:p>
      <w:r>
        <w:br w:type="page"/>
      </w:r>
    </w:p>
    <w:p>
      <w:pPr>
        <w:pStyle w:val="Heading1"/>
        <w:spacing w:after="200" w:before="360"/>
      </w:pPr>
      <w:r>
        <w:rPr>
          <w:rFonts w:ascii="Arial" w:cs="Arial" w:eastAsia="Arial" w:hAnsi="Arial"/>
          <w:b/>
          <w:bCs/>
          <w:color w:val="0A1628"/>
          <w:sz w:val="32"/>
          <w:szCs w:val="32"/>
        </w:rPr>
        <w:t xml:space="preserve">10. Module M9 — Sensitivity &amp; Scenario Analysis</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Sensitivity analysis tests the robustness of impact projections under varying assumptions regarding multiplier rates, growth trajectories, and market conditions.</w:t>
      </w:r>
    </w:p>
    <w:p>
      <w:pPr>
        <w:spacing w:after="200"/>
      </w:pPr>
    </w:p>
    <w:p>
      <w:pPr>
        <w:pStyle w:val="Heading2"/>
        <w:spacing w:after="160" w:before="280"/>
      </w:pPr>
      <w:r>
        <w:rPr>
          <w:rFonts w:ascii="Arial" w:cs="Arial" w:eastAsia="Arial" w:hAnsi="Arial"/>
          <w:b/>
          <w:bCs/>
          <w:color w:val="0D9488"/>
          <w:sz w:val="26"/>
          <w:szCs w:val="26"/>
        </w:rPr>
        <w:t xml:space="preserve">10.1 Scenario Analysis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Base Scenario:</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$47.3M</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Upside Scenario:</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$61.5M</w:t>
            </w:r>
          </w:p>
        </w:tc>
      </w:tr>
      <w:tr>
        <w:tc>
          <w:tcPr>
            <w:tcW w:type="dxa" w:w="5200"/>
            <w:tcBorders>
              <w:top w:val="none" w:color="FFFFFF" w:sz="0"/>
              <w:left w:val="none" w:color="FFFFFF" w:sz="0"/>
              <w:bottom w:val="single" w:color="E2E8F0" w:sz="1"/>
              <w:right w:val="none" w:color="FFFFFF" w:sz="0"/>
            </w:tcBorders>
            <w:tcMar>
              <w:top w:type="dxa" w:w="80"/>
              <w:left w:type="dxa" w:w="120"/>
              <w:bottom w:type="dxa" w:w="80"/>
              <w:right w:type="dxa" w:w="120"/>
            </w:tcMar>
          </w:tcPr>
          <w:p>
            <w:r>
              <w:rPr>
                <w:rFonts w:ascii="Arial" w:cs="Arial" w:eastAsia="Arial" w:hAnsi="Arial"/>
                <w:color w:val="4A5568"/>
                <w:sz w:val="20"/>
                <w:szCs w:val="20"/>
              </w:rPr>
              <w:t xml:space="preserve">Downside Scenario:</w:t>
            </w:r>
          </w:p>
        </w:tc>
        <w:tc>
          <w:tcPr>
            <w:tcW w:type="dxa" w:w="4160"/>
            <w:tcBorders>
              <w:top w:val="none" w:color="FFFFFF" w:sz="0"/>
              <w:left w:val="none" w:color="FFFFFF" w:sz="0"/>
              <w:bottom w:val="single" w:color="E2E8F0" w:sz="1"/>
              <w:right w:val="none" w:color="FFFFFF" w:sz="0"/>
            </w:tcBorders>
            <w:tcMar>
              <w:top w:type="dxa" w:w="80"/>
              <w:left w:type="dxa" w:w="120"/>
              <w:bottom w:type="dxa" w:w="80"/>
              <w:right w:type="dxa" w:w="120"/>
            </w:tcMar>
          </w:tcPr>
          <w:p>
            <w:pPr>
              <w:jc w:val="right"/>
            </w:pPr>
            <w:r>
              <w:rPr>
                <w:rFonts w:ascii="Arial" w:cs="Arial" w:eastAsia="Arial" w:hAnsi="Arial"/>
                <w:b/>
                <w:bCs/>
                <w:color w:val="0A1628"/>
                <w:sz w:val="20"/>
                <w:szCs w:val="20"/>
              </w:rPr>
              <w:t xml:space="preserve">$33.1M</w:t>
            </w:r>
          </w:p>
        </w:tc>
      </w:tr>
    </w:tbl>
    <w:p>
      <w:r>
        <w:br w:type="page"/>
      </w:r>
    </w:p>
    <w:p>
      <w:pPr>
        <w:pStyle w:val="Heading1"/>
        <w:spacing w:after="200" w:before="360"/>
      </w:pPr>
      <w:r>
        <w:rPr>
          <w:rFonts w:ascii="Arial" w:cs="Arial" w:eastAsia="Arial" w:hAnsi="Arial"/>
          <w:b/>
          <w:bCs/>
          <w:color w:val="0A1628"/>
          <w:sz w:val="32"/>
          <w:szCs w:val="32"/>
        </w:rPr>
        <w:t xml:space="preserve">11. Module M10 — RFE Mapping</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RFE mapping demonstrates alignment with Form I-140 Requests for Evidence by directly addressing USCIS criteria for advanced degree professionals and national interest waiver eligibility under 8 CFR § 204.5(k)(4)(ii).</w:t>
      </w:r>
    </w:p>
    <w:p>
      <w:pPr>
        <w:spacing w:after="200"/>
      </w:pPr>
    </w:p>
    <w:p>
      <w:pPr>
        <w:pStyle w:val="Heading2"/>
        <w:spacing w:after="160" w:before="280"/>
      </w:pPr>
      <w:r>
        <w:rPr>
          <w:rFonts w:ascii="Arial" w:cs="Arial" w:eastAsia="Arial" w:hAnsi="Arial"/>
          <w:b/>
          <w:bCs/>
          <w:color w:val="0D9488"/>
          <w:sz w:val="26"/>
          <w:szCs w:val="26"/>
        </w:rPr>
        <w:t xml:space="preserve">11.1 USCIS Criterion Alignment</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The petitioner's extraordinary ability is demonstrated through pioneering work in bilingual 4PL logistics, proprietary technology development, and supply chain innovation with measurable national impact.</w:t>
      </w:r>
    </w:p>
    <w:p>
      <w:pPr>
        <w:spacing w:after="200"/>
      </w:pPr>
    </w:p>
    <w:p>
      <w:pPr>
        <w:pStyle w:val="Heading2"/>
        <w:spacing w:after="160" w:before="280"/>
      </w:pPr>
      <w:r>
        <w:rPr>
          <w:rFonts w:ascii="Arial" w:cs="Arial" w:eastAsia="Arial" w:hAnsi="Arial"/>
          <w:b/>
          <w:bCs/>
          <w:color w:val="0D9488"/>
          <w:sz w:val="26"/>
          <w:szCs w:val="26"/>
        </w:rPr>
        <w:t xml:space="preserve">11.2 Mapping of Anticipated Objections and Rebuttals</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The matrix below pre-empts the most probable adjudicator concerns by pairing each anticipated objection with the modules that address it, the rebuttal summary, and the supporting evidence already documented in this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2780"/>
        <w:gridCol w:w="2780"/>
      </w:tblGrid>
      <w:tr>
        <w:tc>
          <w:tcPr>
            <w:tcW w:type="dxa" w:w="260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Anticipated Objection</w:t>
            </w:r>
          </w:p>
        </w:tc>
        <w:tc>
          <w:tcPr>
            <w:tcW w:type="dxa" w:w="120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Modules</w:t>
            </w:r>
          </w:p>
        </w:tc>
        <w:tc>
          <w:tcPr>
            <w:tcW w:type="dxa" w:w="278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Rebuttal Summary</w:t>
            </w:r>
          </w:p>
        </w:tc>
        <w:tc>
          <w:tcPr>
            <w:tcW w:type="dxa" w:w="278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Key Evidence</w:t>
            </w:r>
          </w:p>
        </w:tc>
      </w:tr>
      <w:tr>
        <w:tc>
          <w:tcPr>
            <w:tcW w:type="dxa" w:w="26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Benefits too attenuated for a single entrepreneur; not national in scope</w:t>
            </w:r>
          </w:p>
        </w:tc>
        <w:tc>
          <w:tcPr>
            <w:tcW w:type="dxa" w:w="12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M1, M2, M13</w:t>
            </w:r>
          </w:p>
        </w:tc>
        <w:tc>
          <w:tcPr>
            <w:tcW w:type="dxa" w:w="27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$47.3M total economic output; 341-427 jobs; impact across 14 NAICS sectors</w:t>
            </w:r>
          </w:p>
        </w:tc>
        <w:tc>
          <w:tcPr>
            <w:tcW w:type="dxa" w:w="27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Type II multiplier methodology; 10 distinct benefit dimensions; field-wide innovation</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Impact limited to company and direct clients; no broader field benefit</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M5, M13</w:t>
            </w:r>
          </w:p>
        </w:tc>
        <w:tc>
          <w:tcPr>
            <w:tcW w:type="dxa" w:w="27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14 NAICS sectors impacted; 83+ vendors engaged; 200-person business network; supply chain innovations adopted by competitors</w:t>
            </w:r>
          </w:p>
        </w:tc>
        <w:tc>
          <w:tcPr>
            <w:tcW w:type="dxa" w:w="27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M5 supply chain mapping; M13 ecosystem impact; patent filings; industry conference presentations</w:t>
            </w:r>
          </w:p>
        </w:tc>
      </w:tr>
      <w:tr>
        <w:tc>
          <w:tcPr>
            <w:tcW w:type="dxa" w:w="26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No demonstrated societal welfare or broader social benefit</w:t>
            </w:r>
          </w:p>
        </w:tc>
        <w:tc>
          <w:tcPr>
            <w:tcW w:type="dxa" w:w="12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M11</w:t>
            </w:r>
          </w:p>
        </w:tc>
        <w:tc>
          <w:tcPr>
            <w:tcW w:type="dxa" w:w="27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SROI of 3.42:1; $13.9M social value generated; 456 individuals trained/upskilled; environmental impact (840 MT CO2 avoided)</w:t>
            </w:r>
          </w:p>
        </w:tc>
        <w:tc>
          <w:tcPr>
            <w:tcW w:type="dxa" w:w="27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M11 SROI module; workforce development data; environmental metrics</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No cultural or artistic enrichment evidence; limited to business context</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M12</w:t>
            </w:r>
          </w:p>
        </w:tc>
        <w:tc>
          <w:tcPr>
            <w:tcW w:type="dxa" w:w="27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First bilingual 4PL platform serving $89.5B bilateral trade corridor; diaspora community activation; cross-cultural workforce integration</w:t>
            </w:r>
          </w:p>
        </w:tc>
        <w:tc>
          <w:tcPr>
            <w:tcW w:type="dxa" w:w="27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M12 cultural module; trade volume data; bilingual employee statistics</w:t>
            </w:r>
          </w:p>
        </w:tc>
      </w:tr>
    </w:tbl>
    <w:p>
      <w:pPr>
        <w:spacing w:after="120"/>
      </w:pPr>
    </w:p>
    <w:p>
      <w:pPr>
        <w:spacing w:after="120" w:before="200"/>
      </w:pPr>
      <w:r>
        <w:rPr>
          <w:rFonts w:ascii="Arial" w:cs="Arial" w:eastAsia="Arial" w:hAnsi="Arial"/>
          <w:b/>
          <w:bCs/>
          <w:color w:val="0B7A6E"/>
          <w:sz w:val="22"/>
          <w:szCs w:val="22"/>
        </w:rPr>
        <w:t xml:space="preserve">11.2.1 Benefits too attenuated for a single entrepreneur; not national in scope</w:t>
      </w:r>
    </w:p>
    <w:p>
      <w:pPr>
        <w:spacing w:after="120" w:line="276"/>
        <w:jc w:val="both"/>
      </w:pPr>
      <w:r>
        <w:rPr>
          <w:rFonts w:ascii="Arial" w:cs="Arial" w:eastAsia="Arial" w:hAnsi="Arial"/>
          <w:b w:val="false"/>
          <w:bCs w:val="false"/>
          <w:i w:val="false"/>
          <w:iCs w:val="false"/>
          <w:color w:val="1A202C"/>
          <w:sz w:val="21"/>
          <w:szCs w:val="21"/>
        </w:rPr>
        <w:t xml:space="preserve">Rebuttal: $47.3M total economic output; 341-427 jobs; impact across 14 NAICS sectors</w:t>
      </w:r>
    </w:p>
    <w:p>
      <w:pPr>
        <w:spacing w:after="120" w:line="276"/>
        <w:jc w:val="both"/>
      </w:pPr>
      <w:r>
        <w:rPr>
          <w:rFonts w:ascii="Arial" w:cs="Arial" w:eastAsia="Arial" w:hAnsi="Arial"/>
          <w:b w:val="false"/>
          <w:bCs w:val="false"/>
          <w:i w:val="false"/>
          <w:iCs w:val="false"/>
          <w:color w:val="1A202C"/>
          <w:sz w:val="21"/>
          <w:szCs w:val="21"/>
        </w:rPr>
        <w:t xml:space="preserve">Referenced evidence: Type II multiplier methodology; 10 distinct benefit dimensions; field-wide innovation</w:t>
      </w:r>
    </w:p>
    <w:p>
      <w:pPr>
        <w:spacing w:after="120"/>
      </w:pPr>
    </w:p>
    <w:p>
      <w:pPr>
        <w:spacing w:after="120" w:before="200"/>
      </w:pPr>
      <w:r>
        <w:rPr>
          <w:rFonts w:ascii="Arial" w:cs="Arial" w:eastAsia="Arial" w:hAnsi="Arial"/>
          <w:b/>
          <w:bCs/>
          <w:color w:val="0B7A6E"/>
          <w:sz w:val="22"/>
          <w:szCs w:val="22"/>
        </w:rPr>
        <w:t xml:space="preserve">11.2.2 Impact limited to company and direct clients; no broader field benefit</w:t>
      </w:r>
    </w:p>
    <w:p>
      <w:pPr>
        <w:spacing w:after="120" w:line="276"/>
        <w:jc w:val="both"/>
      </w:pPr>
      <w:r>
        <w:rPr>
          <w:rFonts w:ascii="Arial" w:cs="Arial" w:eastAsia="Arial" w:hAnsi="Arial"/>
          <w:b w:val="false"/>
          <w:bCs w:val="false"/>
          <w:i w:val="false"/>
          <w:iCs w:val="false"/>
          <w:color w:val="1A202C"/>
          <w:sz w:val="21"/>
          <w:szCs w:val="21"/>
        </w:rPr>
        <w:t xml:space="preserve">Rebuttal: 14 NAICS sectors impacted; 83+ vendors engaged; 200-person business network; supply chain innovations adopted by competitors</w:t>
      </w:r>
    </w:p>
    <w:p>
      <w:pPr>
        <w:spacing w:after="120" w:line="276"/>
        <w:jc w:val="both"/>
      </w:pPr>
      <w:r>
        <w:rPr>
          <w:rFonts w:ascii="Arial" w:cs="Arial" w:eastAsia="Arial" w:hAnsi="Arial"/>
          <w:b w:val="false"/>
          <w:bCs w:val="false"/>
          <w:i w:val="false"/>
          <w:iCs w:val="false"/>
          <w:color w:val="1A202C"/>
          <w:sz w:val="21"/>
          <w:szCs w:val="21"/>
        </w:rPr>
        <w:t xml:space="preserve">Referenced evidence: M5 supply chain mapping; M13 ecosystem impact; patent filings; industry conference presentations</w:t>
      </w:r>
    </w:p>
    <w:p>
      <w:pPr>
        <w:spacing w:after="120"/>
      </w:pPr>
    </w:p>
    <w:p>
      <w:pPr>
        <w:spacing w:after="120" w:before="200"/>
      </w:pPr>
      <w:r>
        <w:rPr>
          <w:rFonts w:ascii="Arial" w:cs="Arial" w:eastAsia="Arial" w:hAnsi="Arial"/>
          <w:b/>
          <w:bCs/>
          <w:color w:val="0B7A6E"/>
          <w:sz w:val="22"/>
          <w:szCs w:val="22"/>
        </w:rPr>
        <w:t xml:space="preserve">11.2.3 No demonstrated societal welfare or broader social benefit</w:t>
      </w:r>
    </w:p>
    <w:p>
      <w:pPr>
        <w:spacing w:after="120" w:line="276"/>
        <w:jc w:val="both"/>
      </w:pPr>
      <w:r>
        <w:rPr>
          <w:rFonts w:ascii="Arial" w:cs="Arial" w:eastAsia="Arial" w:hAnsi="Arial"/>
          <w:b w:val="false"/>
          <w:bCs w:val="false"/>
          <w:i w:val="false"/>
          <w:iCs w:val="false"/>
          <w:color w:val="1A202C"/>
          <w:sz w:val="21"/>
          <w:szCs w:val="21"/>
        </w:rPr>
        <w:t xml:space="preserve">Rebuttal: SROI of 3.42:1; $13.9M social value generated; 456 individuals trained/upskilled; environmental impact (840 MT CO2 avoided)</w:t>
      </w:r>
    </w:p>
    <w:p>
      <w:pPr>
        <w:spacing w:after="120" w:line="276"/>
        <w:jc w:val="both"/>
      </w:pPr>
      <w:r>
        <w:rPr>
          <w:rFonts w:ascii="Arial" w:cs="Arial" w:eastAsia="Arial" w:hAnsi="Arial"/>
          <w:b w:val="false"/>
          <w:bCs w:val="false"/>
          <w:i w:val="false"/>
          <w:iCs w:val="false"/>
          <w:color w:val="1A202C"/>
          <w:sz w:val="21"/>
          <w:szCs w:val="21"/>
        </w:rPr>
        <w:t xml:space="preserve">Referenced evidence: M11 SROI module; workforce development data; environmental metrics</w:t>
      </w:r>
    </w:p>
    <w:p>
      <w:pPr>
        <w:spacing w:after="120"/>
      </w:pPr>
    </w:p>
    <w:p>
      <w:pPr>
        <w:spacing w:after="120" w:before="200"/>
      </w:pPr>
      <w:r>
        <w:rPr>
          <w:rFonts w:ascii="Arial" w:cs="Arial" w:eastAsia="Arial" w:hAnsi="Arial"/>
          <w:b/>
          <w:bCs/>
          <w:color w:val="0B7A6E"/>
          <w:sz w:val="22"/>
          <w:szCs w:val="22"/>
        </w:rPr>
        <w:t xml:space="preserve">11.2.4 No cultural or artistic enrichment evidence; limited to business context</w:t>
      </w:r>
    </w:p>
    <w:p>
      <w:pPr>
        <w:spacing w:after="120" w:line="276"/>
        <w:jc w:val="both"/>
      </w:pPr>
      <w:r>
        <w:rPr>
          <w:rFonts w:ascii="Arial" w:cs="Arial" w:eastAsia="Arial" w:hAnsi="Arial"/>
          <w:b w:val="false"/>
          <w:bCs w:val="false"/>
          <w:i w:val="false"/>
          <w:iCs w:val="false"/>
          <w:color w:val="1A202C"/>
          <w:sz w:val="21"/>
          <w:szCs w:val="21"/>
        </w:rPr>
        <w:t xml:space="preserve">Rebuttal: First bilingual 4PL platform serving $89.5B bilateral trade corridor; diaspora community activation; cross-cultural workforce integration</w:t>
      </w:r>
    </w:p>
    <w:p>
      <w:pPr>
        <w:spacing w:after="120" w:line="276"/>
        <w:jc w:val="both"/>
      </w:pPr>
      <w:r>
        <w:rPr>
          <w:rFonts w:ascii="Arial" w:cs="Arial" w:eastAsia="Arial" w:hAnsi="Arial"/>
          <w:b w:val="false"/>
          <w:bCs w:val="false"/>
          <w:i w:val="false"/>
          <w:iCs w:val="false"/>
          <w:color w:val="1A202C"/>
          <w:sz w:val="21"/>
          <w:szCs w:val="21"/>
        </w:rPr>
        <w:t xml:space="preserve">Referenced evidence: M12 cultural module; trade volume data; bilingual employee statistics</w:t>
      </w:r>
    </w:p>
    <w:p>
      <w:r>
        <w:br w:type="page"/>
      </w:r>
    </w:p>
    <w:p>
      <w:pPr>
        <w:pStyle w:val="Heading1"/>
        <w:spacing w:after="200" w:before="360"/>
      </w:pPr>
      <w:r>
        <w:rPr>
          <w:rFonts w:ascii="Arial" w:cs="Arial" w:eastAsia="Arial" w:hAnsi="Arial"/>
          <w:b/>
          <w:bCs/>
          <w:color w:val="0A1628"/>
          <w:sz w:val="32"/>
          <w:szCs w:val="32"/>
        </w:rPr>
        <w:t xml:space="preserve">12. Module M11 — Social Return on Investment (SROI) Analysis</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This module quantifies the petitioner's social impact using the Social Return on Investment (SROI) framework — an internationally recognized methodology endorsed by the World Bank, UNDP, and GIIN. SROI translates social outcomes into monetized values.</w:t>
      </w:r>
    </w:p>
    <w:p>
      <w:pPr>
        <w:spacing w:after="200"/>
      </w:pPr>
    </w:p>
    <w:p>
      <w:pPr>
        <w:pStyle w:val="Heading2"/>
        <w:spacing w:after="160" w:before="280"/>
      </w:pPr>
      <w:r>
        <w:rPr>
          <w:rFonts w:ascii="Arial" w:cs="Arial" w:eastAsia="Arial" w:hAnsi="Arial"/>
          <w:b/>
          <w:bCs/>
          <w:color w:val="0D9488"/>
          <w:sz w:val="26"/>
          <w:szCs w:val="26"/>
        </w:rPr>
        <w:t xml:space="preserve">12.3 Typology of Professional Certifications</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Each credential below represents a distinct human-capital investment whose monetized value is captured in the SROI ratio reported in subsection 12.1. Certification breadth is itself an indicator of workforce mobility and durable capability 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w:t>
            </w:r>
          </w:p>
        </w:tc>
        <w:tc>
          <w:tcPr>
            <w:tcW w:type="dxa" w:w="856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Certification Type</w:t>
            </w:r>
          </w:p>
        </w:tc>
      </w:tr>
      <w:tr>
        <w:tc>
          <w:tcPr>
            <w:tcW w:type="dxa" w:w="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1</w:t>
            </w:r>
          </w:p>
        </w:tc>
        <w:tc>
          <w:tcPr>
            <w:tcW w:type="dxa" w:w="85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CSCMP CSCP</w:t>
            </w:r>
          </w:p>
        </w:tc>
      </w:tr>
      <w:tr>
        <w:tc>
          <w:tcPr>
            <w:tcW w:type="dxa" w:w="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2</w:t>
            </w:r>
          </w:p>
        </w:tc>
        <w:tc>
          <w:tcPr>
            <w:tcW w:type="dxa" w:w="8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APICS CSCP</w:t>
            </w:r>
          </w:p>
        </w:tc>
      </w:tr>
      <w:tr>
        <w:tc>
          <w:tcPr>
            <w:tcW w:type="dxa" w:w="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3</w:t>
            </w:r>
          </w:p>
        </w:tc>
        <w:tc>
          <w:tcPr>
            <w:tcW w:type="dxa" w:w="85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Six Sigma Green Belt</w:t>
            </w:r>
          </w:p>
        </w:tc>
      </w:tr>
    </w:tbl>
    <w:p>
      <w:r>
        <w:br w:type="page"/>
      </w:r>
    </w:p>
    <w:p>
      <w:pPr>
        <w:pStyle w:val="Heading1"/>
        <w:spacing w:after="200" w:before="360"/>
      </w:pPr>
      <w:r>
        <w:rPr>
          <w:rFonts w:ascii="Arial" w:cs="Arial" w:eastAsia="Arial" w:hAnsi="Arial"/>
          <w:b/>
          <w:bCs/>
          <w:color w:val="0A1628"/>
          <w:sz w:val="32"/>
          <w:szCs w:val="32"/>
        </w:rPr>
        <w:t xml:space="preserve">13. Module M12 — Cultural &amp; Cross-Border Impact</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The petitioner's cultural and cross-border contributions enrich the professional ecosystem through knowledge transfer, mentorship of emerging entrepreneurs, international collaboration facilitation, and bridge-building between U.S. and foreign markets.</w:t>
      </w:r>
    </w:p>
    <w:p>
      <w:pPr>
        <w:spacing w:after="200"/>
      </w:pPr>
    </w:p>
    <w:p>
      <w:pPr>
        <w:pStyle w:val="Heading2"/>
        <w:spacing w:after="160" w:before="280"/>
      </w:pPr>
      <w:r>
        <w:rPr>
          <w:rFonts w:ascii="Arial" w:cs="Arial" w:eastAsia="Arial" w:hAnsi="Arial"/>
          <w:b/>
          <w:bCs/>
          <w:color w:val="0D9488"/>
          <w:sz w:val="26"/>
          <w:szCs w:val="26"/>
        </w:rPr>
        <w:t xml:space="preserve">13.1 Cultural &amp; Knowledge Transfer</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Luciano Costa Ricci has established the first bilingual 4PL platform, creating a bridge between U.S. logistics operations and Brazilian supply chain partners. This initiative serves ~80,000 Portuguese-speaking diaspora in Orlando and facilitates $89.5B Brazil-USA bilateral trade.</w:t>
      </w:r>
    </w:p>
    <w:p>
      <w:pPr>
        <w:spacing w:after="200"/>
      </w:pPr>
    </w:p>
    <w:p>
      <w:pPr>
        <w:pStyle w:val="Heading2"/>
        <w:spacing w:after="160" w:before="280"/>
      </w:pPr>
      <w:r>
        <w:rPr>
          <w:rFonts w:ascii="Arial" w:cs="Arial" w:eastAsia="Arial" w:hAnsi="Arial"/>
          <w:b/>
          <w:bCs/>
          <w:color w:val="0D9488"/>
          <w:sz w:val="26"/>
          <w:szCs w:val="26"/>
        </w:rPr>
        <w:t xml:space="preserve">13.2 Innovations Imported from Origin Market</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The petitioner channels operational practices proven in the origin market into U.S. application contexts. Each row below traces the provenance of an imported practice and the competitive advantage it confers domestically.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Origin Practice</w:t>
            </w:r>
          </w:p>
        </w:tc>
        <w:tc>
          <w:tcPr>
            <w:tcW w:type="dxa" w:w="234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U.S. Application</w:t>
            </w:r>
          </w:p>
        </w:tc>
        <w:tc>
          <w:tcPr>
            <w:tcW w:type="dxa" w:w="234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Competitive Advantage</w:t>
            </w:r>
          </w:p>
        </w:tc>
        <w:tc>
          <w:tcPr>
            <w:tcW w:type="dxa" w:w="234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Transfer Mechanism</w:t>
            </w:r>
          </w:p>
        </w:tc>
      </w:tr>
      <w:tr>
        <w:tc>
          <w:tcPr>
            <w:tcW w:type="dxa" w:w="234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Multi-modal integration model</w:t>
            </w:r>
          </w:p>
        </w:tc>
        <w:tc>
          <w:tcPr>
            <w:tcW w:type="dxa" w:w="234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Intermodal optimization for Florida ports</w:t>
            </w:r>
          </w:p>
        </w:tc>
        <w:tc>
          <w:tcPr>
            <w:tcW w:type="dxa" w:w="234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Enables cost reduction 12-18% vs traditional methods</w:t>
            </w:r>
          </w:p>
        </w:tc>
        <w:tc>
          <w:tcPr>
            <w:tcW w:type="dxa" w:w="234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Direct knowledge transfer from founder</w:t>
            </w:r>
          </w:p>
        </w:tc>
      </w:tr>
      <w:tr>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Relationship-based logistics networks</w:t>
            </w:r>
          </w:p>
        </w:tc>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Minority carrier partnerships and SMB ecosystem</w:t>
            </w:r>
          </w:p>
        </w:tc>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Access to 45-60 businesses; 18-22 minority firms</w:t>
            </w:r>
          </w:p>
        </w:tc>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Network relationship management</w:t>
            </w:r>
          </w:p>
        </w:tc>
      </w:tr>
    </w:tbl>
    <w:p>
      <w:pPr>
        <w:spacing w:after="120"/>
      </w:pPr>
    </w:p>
    <w:p>
      <w:pPr>
        <w:spacing w:after="120" w:before="200"/>
      </w:pPr>
      <w:r>
        <w:rPr>
          <w:rFonts w:ascii="Arial" w:cs="Arial" w:eastAsia="Arial" w:hAnsi="Arial"/>
          <w:b/>
          <w:bCs/>
          <w:color w:val="0B7A6E"/>
          <w:sz w:val="22"/>
          <w:szCs w:val="22"/>
        </w:rPr>
        <w:t xml:space="preserve">13.2.1 Multi-modal integration model</w:t>
      </w:r>
    </w:p>
    <w:p>
      <w:pPr>
        <w:spacing w:after="120" w:line="276"/>
        <w:jc w:val="both"/>
      </w:pPr>
      <w:r>
        <w:rPr>
          <w:rFonts w:ascii="Arial" w:cs="Arial" w:eastAsia="Arial" w:hAnsi="Arial"/>
          <w:b w:val="false"/>
          <w:bCs w:val="false"/>
          <w:i w:val="false"/>
          <w:iCs w:val="false"/>
          <w:color w:val="1A202C"/>
          <w:sz w:val="21"/>
          <w:szCs w:val="21"/>
        </w:rPr>
        <w:t xml:space="preserve">Intermodal optimization for Florida ports</w:t>
      </w:r>
    </w:p>
    <w:p>
      <w:pPr>
        <w:spacing w:after="120" w:line="276"/>
        <w:jc w:val="both"/>
      </w:pPr>
      <w:r>
        <w:rPr>
          <w:rFonts w:ascii="Arial" w:cs="Arial" w:eastAsia="Arial" w:hAnsi="Arial"/>
          <w:b w:val="false"/>
          <w:bCs w:val="false"/>
          <w:i w:val="false"/>
          <w:iCs w:val="false"/>
          <w:color w:val="1A202C"/>
          <w:sz w:val="21"/>
          <w:szCs w:val="21"/>
        </w:rPr>
        <w:t xml:space="preserve">Advantage: Enables cost reduction 12-18% vs traditional methods</w:t>
      </w:r>
    </w:p>
    <w:p>
      <w:pPr>
        <w:spacing w:after="120"/>
      </w:pPr>
    </w:p>
    <w:p>
      <w:pPr>
        <w:spacing w:after="120" w:before="200"/>
      </w:pPr>
      <w:r>
        <w:rPr>
          <w:rFonts w:ascii="Arial" w:cs="Arial" w:eastAsia="Arial" w:hAnsi="Arial"/>
          <w:b/>
          <w:bCs/>
          <w:color w:val="0B7A6E"/>
          <w:sz w:val="22"/>
          <w:szCs w:val="22"/>
        </w:rPr>
        <w:t xml:space="preserve">13.2.2 Relationship-based logistics networks</w:t>
      </w:r>
    </w:p>
    <w:p>
      <w:pPr>
        <w:spacing w:after="120" w:line="276"/>
        <w:jc w:val="both"/>
      </w:pPr>
      <w:r>
        <w:rPr>
          <w:rFonts w:ascii="Arial" w:cs="Arial" w:eastAsia="Arial" w:hAnsi="Arial"/>
          <w:b w:val="false"/>
          <w:bCs w:val="false"/>
          <w:i w:val="false"/>
          <w:iCs w:val="false"/>
          <w:color w:val="1A202C"/>
          <w:sz w:val="21"/>
          <w:szCs w:val="21"/>
        </w:rPr>
        <w:t xml:space="preserve">Minority carrier partnerships and SMB ecosystem</w:t>
      </w:r>
    </w:p>
    <w:p>
      <w:pPr>
        <w:spacing w:after="120" w:line="276"/>
        <w:jc w:val="both"/>
      </w:pPr>
      <w:r>
        <w:rPr>
          <w:rFonts w:ascii="Arial" w:cs="Arial" w:eastAsia="Arial" w:hAnsi="Arial"/>
          <w:b w:val="false"/>
          <w:bCs w:val="false"/>
          <w:i w:val="false"/>
          <w:iCs w:val="false"/>
          <w:color w:val="1A202C"/>
          <w:sz w:val="21"/>
          <w:szCs w:val="21"/>
        </w:rPr>
        <w:t xml:space="preserve">Advantage: Access to 45-60 businesses; 18-22 minority firms</w:t>
      </w:r>
    </w:p>
    <w:p>
      <w:pPr>
        <w:spacing w:after="200"/>
      </w:pPr>
    </w:p>
    <w:p>
      <w:pPr>
        <w:pStyle w:val="Heading2"/>
        <w:spacing w:after="160" w:before="280"/>
      </w:pPr>
      <w:r>
        <w:rPr>
          <w:rFonts w:ascii="Arial" w:cs="Arial" w:eastAsia="Arial" w:hAnsi="Arial"/>
          <w:b/>
          <w:bCs/>
          <w:color w:val="0D9488"/>
          <w:sz w:val="26"/>
          <w:szCs w:val="26"/>
        </w:rPr>
        <w:t xml:space="preserve">13.3 Languages Served by the Operation</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The bilingual / multilingual reach of the operation widens the addressable market and reduces communication-error rates documented elsewhere in this module. Each language below corresponds to an active client-service capability.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Language</w:t>
            </w:r>
          </w:p>
        </w:tc>
        <w:tc>
          <w:tcPr>
            <w:tcW w:type="dxa" w:w="468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Operational Status</w:t>
            </w:r>
          </w:p>
        </w:tc>
      </w:tr>
      <w:tr>
        <w:tc>
          <w:tcPr>
            <w:tcW w:type="dxa" w:w="46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English</w:t>
            </w:r>
          </w:p>
        </w:tc>
        <w:tc>
          <w:tcPr>
            <w:tcW w:type="dxa" w:w="46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Active service</w:t>
            </w:r>
          </w:p>
        </w:tc>
      </w:tr>
      <w:tr>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Portuguese</w:t>
            </w:r>
          </w:p>
        </w:tc>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Active service</w:t>
            </w:r>
          </w:p>
        </w:tc>
      </w:tr>
      <w:tr>
        <w:tc>
          <w:tcPr>
            <w:tcW w:type="dxa" w:w="46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Spanish</w:t>
            </w:r>
          </w:p>
        </w:tc>
        <w:tc>
          <w:tcPr>
            <w:tcW w:type="dxa" w:w="46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Active service</w:t>
            </w:r>
          </w:p>
        </w:tc>
      </w:tr>
    </w:tbl>
    <w:p>
      <w:r>
        <w:br w:type="page"/>
      </w:r>
    </w:p>
    <w:p>
      <w:pPr>
        <w:pStyle w:val="Heading1"/>
        <w:spacing w:after="200" w:before="360"/>
      </w:pPr>
      <w:r>
        <w:rPr>
          <w:rFonts w:ascii="Arial" w:cs="Arial" w:eastAsia="Arial" w:hAnsi="Arial"/>
          <w:b/>
          <w:bCs/>
          <w:color w:val="0A1628"/>
          <w:sz w:val="32"/>
          <w:szCs w:val="32"/>
        </w:rPr>
        <w:t xml:space="preserve">14. Module M13 — Broader Field &amp; Societal Implications</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The petitioner's endeavor has broader field implications, advancing professional practices, methodologies, standards, and societal welfare across the logistics, supply chain, and international trade sectors.</w:t>
      </w:r>
    </w:p>
    <w:p>
      <w:pPr>
        <w:spacing w:after="200"/>
      </w:pPr>
    </w:p>
    <w:p>
      <w:pPr>
        <w:pStyle w:val="Heading2"/>
        <w:spacing w:after="160" w:before="280"/>
      </w:pPr>
      <w:r>
        <w:rPr>
          <w:rFonts w:ascii="Arial" w:cs="Arial" w:eastAsia="Arial" w:hAnsi="Arial"/>
          <w:b/>
          <w:bCs/>
          <w:color w:val="0D9488"/>
          <w:sz w:val="26"/>
          <w:szCs w:val="26"/>
        </w:rPr>
        <w:t xml:space="preserve">14.1 Field-Level Advancement</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Luciano Costa Ricci's company advances supply chain logistics through technological innovation, ecosystem strengthening, and market expansion. The bilingual platform creates new opportunities for SMB carriers, minority-owned businesses, and international trade facilitation.</w:t>
      </w:r>
    </w:p>
    <w:p>
      <w:pPr>
        <w:spacing w:after="200"/>
      </w:pPr>
    </w:p>
    <w:p>
      <w:pPr>
        <w:pStyle w:val="Heading2"/>
        <w:spacing w:after="160" w:before="280"/>
      </w:pPr>
      <w:r>
        <w:rPr>
          <w:rFonts w:ascii="Arial" w:cs="Arial" w:eastAsia="Arial" w:hAnsi="Arial"/>
          <w:b/>
          <w:bCs/>
          <w:color w:val="0D9488"/>
          <w:sz w:val="26"/>
          <w:szCs w:val="26"/>
        </w:rPr>
        <w:t xml:space="preserve">14.2 Innovation Diffusion Across the Professional Field</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The diffusion matrix below documents how each of the petitioner's innovations propagates beyond the firm itself, with explicit adoption mechanisms and projected adopter counts over a five-year horizon.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1380"/>
        <w:gridCol w:w="1380"/>
      </w:tblGrid>
      <w:tr>
        <w:tc>
          <w:tcPr>
            <w:tcW w:type="dxa" w:w="220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Innovation Element</w:t>
            </w:r>
          </w:p>
        </w:tc>
        <w:tc>
          <w:tcPr>
            <w:tcW w:type="dxa" w:w="220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Field Impact</w:t>
            </w:r>
          </w:p>
        </w:tc>
        <w:tc>
          <w:tcPr>
            <w:tcW w:type="dxa" w:w="220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Adoption Mechanism</w:t>
            </w:r>
          </w:p>
        </w:tc>
        <w:tc>
          <w:tcPr>
            <w:tcW w:type="dxa" w:w="138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Projected Adopters (5y)</w:t>
            </w:r>
          </w:p>
        </w:tc>
        <w:tc>
          <w:tcPr>
            <w:tcW w:type="dxa" w:w="138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Efficiency Gain</w:t>
            </w:r>
          </w:p>
        </w:tc>
      </w:tr>
      <w:tr>
        <w:tc>
          <w:tcPr>
            <w:tcW w:type="dxa" w:w="22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AI-driven shipment consolidation</w:t>
            </w:r>
          </w:p>
        </w:tc>
        <w:tc>
          <w:tcPr>
            <w:tcW w:type="dxa" w:w="22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Reduces industry empty-mile rates by 18-24%</w:t>
            </w:r>
          </w:p>
        </w:tc>
        <w:tc>
          <w:tcPr>
            <w:tcW w:type="dxa" w:w="22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Open-API integration; industry conference presentations; patent licensing</w:t>
            </w:r>
          </w:p>
        </w:tc>
        <w:tc>
          <w:tcPr>
            <w:tcW w:type="dxa" w:w="13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12-18 firms</w:t>
            </w:r>
          </w:p>
        </w:tc>
        <w:tc>
          <w:tcPr>
            <w:tcW w:type="dxa" w:w="13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2-3% cost reduction across sector</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Real-time multi-carrier orchestration</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Enables SMB carriers to compete with large operators</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Ecosystem partnerships; technology licensing</w:t>
            </w:r>
          </w:p>
        </w:tc>
        <w:tc>
          <w:tcPr>
            <w:tcW w:type="dxa" w:w="1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25-35 small carriers</w:t>
            </w:r>
          </w:p>
        </w:tc>
        <w:tc>
          <w:tcPr>
            <w:tcW w:type="dxa" w:w="13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w:t>
            </w:r>
          </w:p>
        </w:tc>
      </w:tr>
      <w:tr>
        <w:tc>
          <w:tcPr>
            <w:tcW w:type="dxa" w:w="22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Bilingual supply chain network</w:t>
            </w:r>
          </w:p>
        </w:tc>
        <w:tc>
          <w:tcPr>
            <w:tcW w:type="dxa" w:w="22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Opens new market segment for logistics providers</w:t>
            </w:r>
          </w:p>
        </w:tc>
        <w:tc>
          <w:tcPr>
            <w:tcW w:type="dxa" w:w="22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Industry benchmarking; conference presentations; supplier relationships</w:t>
            </w:r>
          </w:p>
        </w:tc>
        <w:tc>
          <w:tcPr>
            <w:tcW w:type="dxa" w:w="13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w:t>
            </w:r>
          </w:p>
        </w:tc>
        <w:tc>
          <w:tcPr>
            <w:tcW w:type="dxa" w:w="138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w:t>
            </w:r>
          </w:p>
        </w:tc>
      </w:tr>
    </w:tbl>
    <w:p>
      <w:pPr>
        <w:spacing w:after="120"/>
      </w:pPr>
    </w:p>
    <w:p>
      <w:pPr>
        <w:spacing w:after="120" w:before="200"/>
      </w:pPr>
      <w:r>
        <w:rPr>
          <w:rFonts w:ascii="Arial" w:cs="Arial" w:eastAsia="Arial" w:hAnsi="Arial"/>
          <w:b/>
          <w:bCs/>
          <w:color w:val="0B7A6E"/>
          <w:sz w:val="22"/>
          <w:szCs w:val="22"/>
        </w:rPr>
        <w:t xml:space="preserve">14.2.1 AI-driven shipment consolidation</w:t>
      </w:r>
    </w:p>
    <w:p>
      <w:pPr>
        <w:spacing w:after="120" w:line="276"/>
        <w:jc w:val="both"/>
      </w:pPr>
      <w:r>
        <w:rPr>
          <w:rFonts w:ascii="Arial" w:cs="Arial" w:eastAsia="Arial" w:hAnsi="Arial"/>
          <w:b w:val="false"/>
          <w:bCs w:val="false"/>
          <w:i w:val="false"/>
          <w:iCs w:val="false"/>
          <w:color w:val="1A202C"/>
          <w:sz w:val="21"/>
          <w:szCs w:val="21"/>
        </w:rPr>
        <w:t xml:space="preserve">Field impact: Reduces industry empty-mile rates by 18-24%</w:t>
      </w:r>
    </w:p>
    <w:p>
      <w:pPr>
        <w:spacing w:after="120" w:line="276"/>
        <w:jc w:val="both"/>
      </w:pPr>
      <w:r>
        <w:rPr>
          <w:rFonts w:ascii="Arial" w:cs="Arial" w:eastAsia="Arial" w:hAnsi="Arial"/>
          <w:b w:val="false"/>
          <w:bCs w:val="false"/>
          <w:i w:val="false"/>
          <w:iCs w:val="false"/>
          <w:color w:val="1A202C"/>
          <w:sz w:val="21"/>
          <w:szCs w:val="21"/>
        </w:rPr>
        <w:t xml:space="preserve">Mechanism: Open-API integration; industry conference presentations; patent licensing</w:t>
      </w:r>
    </w:p>
    <w:p>
      <w:pPr>
        <w:spacing w:after="120"/>
      </w:pPr>
    </w:p>
    <w:p>
      <w:pPr>
        <w:spacing w:after="120" w:before="200"/>
      </w:pPr>
      <w:r>
        <w:rPr>
          <w:rFonts w:ascii="Arial" w:cs="Arial" w:eastAsia="Arial" w:hAnsi="Arial"/>
          <w:b/>
          <w:bCs/>
          <w:color w:val="0B7A6E"/>
          <w:sz w:val="22"/>
          <w:szCs w:val="22"/>
        </w:rPr>
        <w:t xml:space="preserve">14.2.2 Real-time multi-carrier orchestration</w:t>
      </w:r>
    </w:p>
    <w:p>
      <w:pPr>
        <w:spacing w:after="120" w:line="276"/>
        <w:jc w:val="both"/>
      </w:pPr>
      <w:r>
        <w:rPr>
          <w:rFonts w:ascii="Arial" w:cs="Arial" w:eastAsia="Arial" w:hAnsi="Arial"/>
          <w:b w:val="false"/>
          <w:bCs w:val="false"/>
          <w:i w:val="false"/>
          <w:iCs w:val="false"/>
          <w:color w:val="1A202C"/>
          <w:sz w:val="21"/>
          <w:szCs w:val="21"/>
        </w:rPr>
        <w:t xml:space="preserve">Field impact: Enables SMB carriers to compete with large operators</w:t>
      </w:r>
    </w:p>
    <w:p>
      <w:pPr>
        <w:spacing w:after="120" w:line="276"/>
        <w:jc w:val="both"/>
      </w:pPr>
      <w:r>
        <w:rPr>
          <w:rFonts w:ascii="Arial" w:cs="Arial" w:eastAsia="Arial" w:hAnsi="Arial"/>
          <w:b w:val="false"/>
          <w:bCs w:val="false"/>
          <w:i w:val="false"/>
          <w:iCs w:val="false"/>
          <w:color w:val="1A202C"/>
          <w:sz w:val="21"/>
          <w:szCs w:val="21"/>
        </w:rPr>
        <w:t xml:space="preserve">Mechanism: Ecosystem partnerships; technology licensing</w:t>
      </w:r>
    </w:p>
    <w:p>
      <w:pPr>
        <w:spacing w:after="120"/>
      </w:pPr>
    </w:p>
    <w:p>
      <w:pPr>
        <w:spacing w:after="120" w:before="200"/>
      </w:pPr>
      <w:r>
        <w:rPr>
          <w:rFonts w:ascii="Arial" w:cs="Arial" w:eastAsia="Arial" w:hAnsi="Arial"/>
          <w:b/>
          <w:bCs/>
          <w:color w:val="0B7A6E"/>
          <w:sz w:val="22"/>
          <w:szCs w:val="22"/>
        </w:rPr>
        <w:t xml:space="preserve">14.2.3 Bilingual supply chain network</w:t>
      </w:r>
    </w:p>
    <w:p>
      <w:pPr>
        <w:spacing w:after="120" w:line="276"/>
        <w:jc w:val="both"/>
      </w:pPr>
      <w:r>
        <w:rPr>
          <w:rFonts w:ascii="Arial" w:cs="Arial" w:eastAsia="Arial" w:hAnsi="Arial"/>
          <w:b w:val="false"/>
          <w:bCs w:val="false"/>
          <w:i w:val="false"/>
          <w:iCs w:val="false"/>
          <w:color w:val="1A202C"/>
          <w:sz w:val="21"/>
          <w:szCs w:val="21"/>
        </w:rPr>
        <w:t xml:space="preserve">Field impact: Opens new market segment for logistics providers</w:t>
      </w:r>
    </w:p>
    <w:p>
      <w:pPr>
        <w:spacing w:after="120" w:line="276"/>
        <w:jc w:val="both"/>
      </w:pPr>
      <w:r>
        <w:rPr>
          <w:rFonts w:ascii="Arial" w:cs="Arial" w:eastAsia="Arial" w:hAnsi="Arial"/>
          <w:b w:val="false"/>
          <w:bCs w:val="false"/>
          <w:i w:val="false"/>
          <w:iCs w:val="false"/>
          <w:color w:val="1A202C"/>
          <w:sz w:val="21"/>
          <w:szCs w:val="21"/>
        </w:rPr>
        <w:t xml:space="preserve">Mechanism: Industry benchmarking; conference presentations; supplier relationships</w:t>
      </w:r>
    </w:p>
    <w:p>
      <w:r>
        <w:br w:type="page"/>
      </w:r>
    </w:p>
    <w:p>
      <w:r>
        <w:br w:type="page"/>
      </w:r>
    </w:p>
    <w:p>
      <w:pPr>
        <w:pStyle w:val="Heading1"/>
        <w:spacing w:after="200" w:before="360"/>
      </w:pPr>
      <w:r>
        <w:rPr>
          <w:rFonts w:ascii="Arial" w:cs="Arial" w:eastAsia="Arial" w:hAnsi="Arial"/>
          <w:b/>
          <w:bCs/>
          <w:color w:val="0A1628"/>
          <w:sz w:val="32"/>
          <w:szCs w:val="32"/>
        </w:rPr>
        <w:t xml:space="preserve">15. Methodological Notes &amp; Data Sources</w:t>
      </w:r>
    </w:p>
    <w:p>
      <w:pPr>
        <w:spacing w:after="40"/>
      </w:pPr>
    </w:p>
    <w:p>
      <w:pPr>
        <w:pStyle w:val="Heading2"/>
        <w:spacing w:after="160" w:before="280"/>
      </w:pPr>
      <w:r>
        <w:rPr>
          <w:rFonts w:ascii="Arial" w:cs="Arial" w:eastAsia="Arial" w:hAnsi="Arial"/>
          <w:b/>
          <w:bCs/>
          <w:color w:val="0D9488"/>
          <w:sz w:val="26"/>
          <w:szCs w:val="26"/>
        </w:rPr>
        <w:t xml:space="preserve">15.1 IMPLAN® Economic Modeling</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IMPLAN (Impact Analysis for Planning) is an input-output (I-O) econometric model maintained by IMPLAN Group, LLC. It provides county-level, state-level, and national economic multipliers for 546 industries classified by NAICS codes.</w:t>
      </w:r>
    </w:p>
    <w:p>
      <w:pPr>
        <w:spacing w:after="100"/>
      </w:pPr>
    </w:p>
    <w:p>
      <w:pPr>
        <w:pStyle w:val="Heading2"/>
        <w:spacing w:after="160" w:before="280"/>
      </w:pPr>
      <w:r>
        <w:rPr>
          <w:rFonts w:ascii="Arial" w:cs="Arial" w:eastAsia="Arial" w:hAnsi="Arial"/>
          <w:b/>
          <w:bCs/>
          <w:color w:val="0D9488"/>
          <w:sz w:val="26"/>
          <w:szCs w:val="26"/>
        </w:rPr>
        <w:t xml:space="preserve">15.2 RIMS II Multipliers</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RIMS II (Regional Input-Output Modeling System) multipliers are provided by the U.S. Bureau of Economic Analysis (BEA). Type II multipliers include direct, indirect, and induced effects of economic activity.</w:t>
      </w:r>
    </w:p>
    <w:p>
      <w:pPr>
        <w:spacing w:after="100"/>
      </w:pPr>
    </w:p>
    <w:p>
      <w:pPr>
        <w:pStyle w:val="Heading2"/>
        <w:spacing w:after="160" w:before="280"/>
      </w:pPr>
      <w:r>
        <w:rPr>
          <w:rFonts w:ascii="Arial" w:cs="Arial" w:eastAsia="Arial" w:hAnsi="Arial"/>
          <w:b/>
          <w:bCs/>
          <w:color w:val="0D9488"/>
          <w:sz w:val="26"/>
          <w:szCs w:val="26"/>
        </w:rPr>
        <w:t xml:space="preserve">15.3 EPI Employment Multipliers</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The Economic Policy Institute (EPI) publishes employment multipliers reflecting the relationship between direct job creation and subsequent job generation through supply chain and consumer demand channels.</w:t>
      </w:r>
    </w:p>
    <w:p>
      <w:pPr>
        <w:spacing w:after="100"/>
      </w:pPr>
    </w:p>
    <w:p>
      <w:pPr>
        <w:pStyle w:val="Heading2"/>
        <w:spacing w:after="160" w:before="280"/>
      </w:pPr>
      <w:r>
        <w:rPr>
          <w:rFonts w:ascii="Arial" w:cs="Arial" w:eastAsia="Arial" w:hAnsi="Arial"/>
          <w:b/>
          <w:bCs/>
          <w:color w:val="0D9488"/>
          <w:sz w:val="26"/>
          <w:szCs w:val="26"/>
        </w:rPr>
        <w:t xml:space="preserve">15.4 Data Sources</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Primary data sources include: (1) U.S. Census Bureau (annual business surveys, payroll data), (2) Bureau of Economic Analysis (regional economic accounts), (3) Bureau of Labor Statistics (employment, wages, industry data), (4) NAICS industry classification system, (5) Company financial statements and operational data.</w:t>
      </w:r>
    </w:p>
    <w:p>
      <w:pPr>
        <w:spacing w:after="160"/>
      </w:pPr>
    </w:p>
    <w:p>
      <w:pPr>
        <w:pStyle w:val="Heading2"/>
        <w:spacing w:after="160" w:before="280"/>
      </w:pPr>
      <w:r>
        <w:rPr>
          <w:rFonts w:ascii="Arial" w:cs="Arial" w:eastAsia="Arial" w:hAnsi="Arial"/>
          <w:b/>
          <w:bCs/>
          <w:color w:val="0D9488"/>
          <w:sz w:val="26"/>
          <w:szCs w:val="26"/>
        </w:rPr>
        <w:t xml:space="preserve">15.5 Internal Validation Checklist</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Each item below was verified against source data prior to issuance of this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w:t>
            </w:r>
          </w:p>
        </w:tc>
        <w:tc>
          <w:tcPr>
            <w:tcW w:type="dxa" w:w="856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Validation Item</w:t>
            </w:r>
          </w:p>
        </w:tc>
      </w:tr>
      <w:tr>
        <w:tc>
          <w:tcPr>
            <w:tcW w:type="dxa" w:w="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1</w:t>
            </w:r>
          </w:p>
        </w:tc>
        <w:tc>
          <w:tcPr>
            <w:tcW w:type="dxa" w:w="85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All currency values in USD</w:t>
            </w:r>
          </w:p>
        </w:tc>
      </w:tr>
      <w:tr>
        <w:tc>
          <w:tcPr>
            <w:tcW w:type="dxa" w:w="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2</w:t>
            </w:r>
          </w:p>
        </w:tc>
        <w:tc>
          <w:tcPr>
            <w:tcW w:type="dxa" w:w="8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Years = 5-year projection period</w:t>
            </w:r>
          </w:p>
        </w:tc>
      </w:tr>
      <w:tr>
        <w:tc>
          <w:tcPr>
            <w:tcW w:type="dxa" w:w="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3</w:t>
            </w:r>
          </w:p>
        </w:tc>
        <w:tc>
          <w:tcPr>
            <w:tcW w:type="dxa" w:w="85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Percentages expressed as 0.XX (decimals) or X.X% (with percent sign)</w:t>
            </w:r>
          </w:p>
        </w:tc>
      </w:tr>
      <w:tr>
        <w:tc>
          <w:tcPr>
            <w:tcW w:type="dxa" w:w="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4</w:t>
            </w:r>
          </w:p>
        </w:tc>
        <w:tc>
          <w:tcPr>
            <w:tcW w:type="dxa" w:w="8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NAICS codes match official Census Bureau codes</w:t>
            </w:r>
          </w:p>
        </w:tc>
      </w:tr>
      <w:tr>
        <w:tc>
          <w:tcPr>
            <w:tcW w:type="dxa" w:w="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5</w:t>
            </w:r>
          </w:p>
        </w:tc>
        <w:tc>
          <w:tcPr>
            <w:tcW w:type="dxa" w:w="85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MSA FIPS codes verified against official list</w:t>
            </w:r>
          </w:p>
        </w:tc>
      </w:tr>
      <w:tr>
        <w:tc>
          <w:tcPr>
            <w:tcW w:type="dxa" w:w="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6</w:t>
            </w:r>
          </w:p>
        </w:tc>
        <w:tc>
          <w:tcPr>
            <w:tcW w:type="dxa" w:w="8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Multipliers sourced from RIMS II or IMPLAN for specific MSA</w:t>
            </w:r>
          </w:p>
        </w:tc>
      </w:tr>
      <w:tr>
        <w:tc>
          <w:tcPr>
            <w:tcW w:type="dxa" w:w="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7</w:t>
            </w:r>
          </w:p>
        </w:tc>
        <w:tc>
          <w:tcPr>
            <w:tcW w:type="dxa" w:w="85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All claims supported by data sources</w:t>
            </w:r>
          </w:p>
        </w:tc>
      </w:tr>
      <w:tr>
        <w:tc>
          <w:tcPr>
            <w:tcW w:type="dxa" w:w="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8</w:t>
            </w:r>
          </w:p>
        </w:tc>
        <w:tc>
          <w:tcPr>
            <w:tcW w:type="dxa" w:w="8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Sensitivity analysis covers conservative/base/optimistic scenarios</w:t>
            </w:r>
          </w:p>
        </w:tc>
      </w:tr>
      <w:tr>
        <w:tc>
          <w:tcPr>
            <w:tcW w:type="dxa" w:w="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9</w:t>
            </w:r>
          </w:p>
        </w:tc>
        <w:tc>
          <w:tcPr>
            <w:tcW w:type="dxa" w:w="85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RFE mapping addresses anticipated USCIS objections</w:t>
            </w:r>
          </w:p>
        </w:tc>
      </w:tr>
    </w:tbl>
    <w:p>
      <w:pPr>
        <w:pStyle w:val="ListParagraph"/>
        <w:numPr>
          <w:ilvl w:val="0"/>
          <w:numId w:val="1"/>
        </w:numPr>
        <w:spacing w:after="80" w:line="276"/>
        <w:jc w:val="both"/>
      </w:pPr>
      <w:r>
        <w:rPr>
          <w:rFonts w:ascii="Arial" w:cs="Arial" w:eastAsia="Arial" w:hAnsi="Arial"/>
          <w:color w:val="1A202C"/>
          <w:sz w:val="21"/>
          <w:szCs w:val="21"/>
        </w:rPr>
        <w:t xml:space="preserve">1. All currency values in USD</w:t>
      </w:r>
    </w:p>
    <w:p>
      <w:pPr>
        <w:pStyle w:val="ListParagraph"/>
        <w:numPr>
          <w:ilvl w:val="0"/>
          <w:numId w:val="1"/>
        </w:numPr>
        <w:spacing w:after="80" w:line="276"/>
        <w:jc w:val="both"/>
      </w:pPr>
      <w:r>
        <w:rPr>
          <w:rFonts w:ascii="Arial" w:cs="Arial" w:eastAsia="Arial" w:hAnsi="Arial"/>
          <w:color w:val="1A202C"/>
          <w:sz w:val="21"/>
          <w:szCs w:val="21"/>
        </w:rPr>
        <w:t xml:space="preserve">2. Years = 5-year projection period</w:t>
      </w:r>
    </w:p>
    <w:p>
      <w:pPr>
        <w:pStyle w:val="ListParagraph"/>
        <w:numPr>
          <w:ilvl w:val="0"/>
          <w:numId w:val="1"/>
        </w:numPr>
        <w:spacing w:after="80" w:line="276"/>
        <w:jc w:val="both"/>
      </w:pPr>
      <w:r>
        <w:rPr>
          <w:rFonts w:ascii="Arial" w:cs="Arial" w:eastAsia="Arial" w:hAnsi="Arial"/>
          <w:color w:val="1A202C"/>
          <w:sz w:val="21"/>
          <w:szCs w:val="21"/>
        </w:rPr>
        <w:t xml:space="preserve">3. Percentages expressed as 0.XX (decimals) or X.X% (with percent sign)</w:t>
      </w:r>
    </w:p>
    <w:p>
      <w:pPr>
        <w:pStyle w:val="ListParagraph"/>
        <w:numPr>
          <w:ilvl w:val="0"/>
          <w:numId w:val="1"/>
        </w:numPr>
        <w:spacing w:after="80" w:line="276"/>
        <w:jc w:val="both"/>
      </w:pPr>
      <w:r>
        <w:rPr>
          <w:rFonts w:ascii="Arial" w:cs="Arial" w:eastAsia="Arial" w:hAnsi="Arial"/>
          <w:color w:val="1A202C"/>
          <w:sz w:val="21"/>
          <w:szCs w:val="21"/>
        </w:rPr>
        <w:t xml:space="preserve">4. NAICS codes match official Census Bureau codes</w:t>
      </w:r>
    </w:p>
    <w:p>
      <w:pPr>
        <w:pStyle w:val="ListParagraph"/>
        <w:numPr>
          <w:ilvl w:val="0"/>
          <w:numId w:val="1"/>
        </w:numPr>
        <w:spacing w:after="80" w:line="276"/>
        <w:jc w:val="both"/>
      </w:pPr>
      <w:r>
        <w:rPr>
          <w:rFonts w:ascii="Arial" w:cs="Arial" w:eastAsia="Arial" w:hAnsi="Arial"/>
          <w:color w:val="1A202C"/>
          <w:sz w:val="21"/>
          <w:szCs w:val="21"/>
        </w:rPr>
        <w:t xml:space="preserve">5. MSA FIPS codes verified against official list</w:t>
      </w:r>
    </w:p>
    <w:p>
      <w:pPr>
        <w:pStyle w:val="ListParagraph"/>
        <w:numPr>
          <w:ilvl w:val="0"/>
          <w:numId w:val="1"/>
        </w:numPr>
        <w:spacing w:after="80" w:line="276"/>
        <w:jc w:val="both"/>
      </w:pPr>
      <w:r>
        <w:rPr>
          <w:rFonts w:ascii="Arial" w:cs="Arial" w:eastAsia="Arial" w:hAnsi="Arial"/>
          <w:color w:val="1A202C"/>
          <w:sz w:val="21"/>
          <w:szCs w:val="21"/>
        </w:rPr>
        <w:t xml:space="preserve">6. Multipliers sourced from RIMS II or IMPLAN for specific MSA</w:t>
      </w:r>
    </w:p>
    <w:p>
      <w:pPr>
        <w:pStyle w:val="ListParagraph"/>
        <w:numPr>
          <w:ilvl w:val="0"/>
          <w:numId w:val="1"/>
        </w:numPr>
        <w:spacing w:after="80" w:line="276"/>
        <w:jc w:val="both"/>
      </w:pPr>
      <w:r>
        <w:rPr>
          <w:rFonts w:ascii="Arial" w:cs="Arial" w:eastAsia="Arial" w:hAnsi="Arial"/>
          <w:color w:val="1A202C"/>
          <w:sz w:val="21"/>
          <w:szCs w:val="21"/>
        </w:rPr>
        <w:t xml:space="preserve">7. All claims supported by data sources</w:t>
      </w:r>
    </w:p>
    <w:p>
      <w:pPr>
        <w:pStyle w:val="ListParagraph"/>
        <w:numPr>
          <w:ilvl w:val="0"/>
          <w:numId w:val="1"/>
        </w:numPr>
        <w:spacing w:after="80" w:line="276"/>
        <w:jc w:val="both"/>
      </w:pPr>
      <w:r>
        <w:rPr>
          <w:rFonts w:ascii="Arial" w:cs="Arial" w:eastAsia="Arial" w:hAnsi="Arial"/>
          <w:color w:val="1A202C"/>
          <w:sz w:val="21"/>
          <w:szCs w:val="21"/>
        </w:rPr>
        <w:t xml:space="preserve">8. Sensitivity analysis covers conservative/base/optimistic scenarios</w:t>
      </w:r>
    </w:p>
    <w:p>
      <w:pPr>
        <w:pStyle w:val="ListParagraph"/>
        <w:numPr>
          <w:ilvl w:val="0"/>
          <w:numId w:val="1"/>
        </w:numPr>
        <w:spacing w:after="80" w:line="276"/>
        <w:jc w:val="both"/>
      </w:pPr>
      <w:r>
        <w:rPr>
          <w:rFonts w:ascii="Arial" w:cs="Arial" w:eastAsia="Arial" w:hAnsi="Arial"/>
          <w:color w:val="1A202C"/>
          <w:sz w:val="21"/>
          <w:szCs w:val="21"/>
        </w:rPr>
        <w:t xml:space="preserve">9. RFE mapping addresses anticipated USCIS objections</w:t>
      </w:r>
    </w:p>
    <w:p>
      <w:pPr>
        <w:spacing w:after="200"/>
      </w:pPr>
    </w:p>
    <w:p>
      <w:pPr>
        <w:jc w:val="center"/>
      </w:pPr>
      <w:r>
        <w:rPr>
          <w:rFonts w:ascii="Arial" w:cs="Arial" w:eastAsia="Arial" w:hAnsi="Arial"/>
          <w:i/>
          <w:iCs/>
          <w:color w:val="718096"/>
          <w:sz w:val="20"/>
          <w:szCs w:val="20"/>
        </w:rPr>
        <w:t xml:space="preserve">— End of Report —</w:t>
      </w:r>
    </w:p>
    <w:p>
      <w:r>
        <w:br w:type="page"/>
      </w:r>
    </w:p>
    <w:p>
      <w:pPr>
        <w:pStyle w:val="Heading1"/>
        <w:spacing w:after="200" w:before="360"/>
      </w:pPr>
      <w:r>
        <w:rPr>
          <w:rFonts w:ascii="Arial" w:cs="Arial" w:eastAsia="Arial" w:hAnsi="Arial"/>
          <w:b/>
          <w:bCs/>
          <w:color w:val="0A1628"/>
          <w:sz w:val="32"/>
          <w:szCs w:val="32"/>
        </w:rPr>
        <w:t xml:space="preserve">16. Dhanasar Analysis — Three-Prong Synthesis</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The synthesis below consolidates the evidence presented in Modules M1–M13 under the three-prong framework established in Matter of Dhanasar, 26 I&amp;N Dec. 884 (AAO 2016). Each block below catalogs the key evidence to be cross-referenced with the attached documentation.</w:t>
      </w:r>
    </w:p>
    <w:p>
      <w:pPr>
        <w:spacing w:after="160"/>
      </w:pPr>
    </w:p>
    <w:p>
      <w:pPr>
        <w:pStyle w:val="Heading2"/>
        <w:spacing w:after="160" w:before="280"/>
      </w:pPr>
      <w:r>
        <w:rPr>
          <w:rFonts w:ascii="Arial" w:cs="Arial" w:eastAsia="Arial" w:hAnsi="Arial"/>
          <w:b/>
          <w:bCs/>
          <w:color w:val="0D9488"/>
          <w:sz w:val="26"/>
          <w:szCs w:val="26"/>
        </w:rPr>
        <w:t xml:space="preserve">16.1 Prong 1 — Substantial Merit and National Importance</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This prong evaluates whether the proposed endeavor has substantial merit and national-scale relevance. The evidence catalogued below demonstrates the geographic and sectoral reach of the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w:t>
            </w:r>
          </w:p>
        </w:tc>
        <w:tc>
          <w:tcPr>
            <w:tcW w:type="dxa" w:w="856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Key Evidence</w:t>
            </w:r>
          </w:p>
        </w:tc>
      </w:tr>
      <w:tr>
        <w:tc>
          <w:tcPr>
            <w:tcW w:type="dxa" w:w="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1</w:t>
            </w:r>
          </w:p>
        </w:tc>
        <w:tc>
          <w:tcPr>
            <w:tcW w:type="dxa" w:w="85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M1 &amp; M2: $47.3M economic impact + 341-427 jobs across 14 NAICS sectors</w:t>
            </w:r>
          </w:p>
        </w:tc>
      </w:tr>
      <w:tr>
        <w:tc>
          <w:tcPr>
            <w:tcW w:type="dxa" w:w="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2</w:t>
            </w:r>
          </w:p>
        </w:tc>
        <w:tc>
          <w:tcPr>
            <w:tcW w:type="dxa" w:w="8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M6: Proprietary AI technology, 2 patents pending, 3 trade secrets</w:t>
            </w:r>
          </w:p>
        </w:tc>
      </w:tr>
      <w:tr>
        <w:tc>
          <w:tcPr>
            <w:tcW w:type="dxa" w:w="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3</w:t>
            </w:r>
          </w:p>
        </w:tc>
        <w:tc>
          <w:tcPr>
            <w:tcW w:type="dxa" w:w="85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M8: Direct alignment with Executive Orders 14017 (supply chain resilience) and 14052 (supply chain diversification)</w:t>
            </w:r>
          </w:p>
        </w:tc>
      </w:tr>
      <w:tr>
        <w:tc>
          <w:tcPr>
            <w:tcW w:type="dxa" w:w="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4</w:t>
            </w:r>
          </w:p>
        </w:tc>
        <w:tc>
          <w:tcPr>
            <w:tcW w:type="dxa" w:w="8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M13: Strengthens SMB carriers, improves national supply chain resilience by 42% recovery time reduction</w:t>
            </w:r>
          </w:p>
        </w:tc>
      </w:tr>
      <w:tr>
        <w:tc>
          <w:tcPr>
            <w:tcW w:type="dxa" w:w="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5</w:t>
            </w:r>
          </w:p>
        </w:tc>
        <w:tc>
          <w:tcPr>
            <w:tcW w:type="dxa" w:w="85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M12: Bridges $89.5B bilateral trade corridor; only bilingual 4PL in region</w:t>
            </w:r>
          </w:p>
        </w:tc>
      </w:tr>
    </w:tbl>
    <w:p>
      <w:pPr>
        <w:pStyle w:val="ListParagraph"/>
        <w:numPr>
          <w:ilvl w:val="0"/>
          <w:numId w:val="1"/>
        </w:numPr>
        <w:spacing w:after="80" w:line="276"/>
        <w:jc w:val="both"/>
      </w:pPr>
      <w:r>
        <w:rPr>
          <w:rFonts w:ascii="Arial" w:cs="Arial" w:eastAsia="Arial" w:hAnsi="Arial"/>
          <w:color w:val="1A202C"/>
          <w:sz w:val="21"/>
          <w:szCs w:val="21"/>
        </w:rPr>
        <w:t xml:space="preserve">1. M1 &amp; M2: $47.3M economic impact + 341-427 jobs across 14 NAICS sectors</w:t>
      </w:r>
    </w:p>
    <w:p>
      <w:pPr>
        <w:pStyle w:val="ListParagraph"/>
        <w:numPr>
          <w:ilvl w:val="0"/>
          <w:numId w:val="1"/>
        </w:numPr>
        <w:spacing w:after="80" w:line="276"/>
        <w:jc w:val="both"/>
      </w:pPr>
      <w:r>
        <w:rPr>
          <w:rFonts w:ascii="Arial" w:cs="Arial" w:eastAsia="Arial" w:hAnsi="Arial"/>
          <w:color w:val="1A202C"/>
          <w:sz w:val="21"/>
          <w:szCs w:val="21"/>
        </w:rPr>
        <w:t xml:space="preserve">2. M6: Proprietary AI technology, 2 patents pending, 3 trade secrets</w:t>
      </w:r>
    </w:p>
    <w:p>
      <w:pPr>
        <w:pStyle w:val="ListParagraph"/>
        <w:numPr>
          <w:ilvl w:val="0"/>
          <w:numId w:val="1"/>
        </w:numPr>
        <w:spacing w:after="80" w:line="276"/>
        <w:jc w:val="both"/>
      </w:pPr>
      <w:r>
        <w:rPr>
          <w:rFonts w:ascii="Arial" w:cs="Arial" w:eastAsia="Arial" w:hAnsi="Arial"/>
          <w:color w:val="1A202C"/>
          <w:sz w:val="21"/>
          <w:szCs w:val="21"/>
        </w:rPr>
        <w:t xml:space="preserve">3. M8: Direct alignment with Executive Orders 14017 (supply chain resilience) and 14052 (supply chain diversification)</w:t>
      </w:r>
    </w:p>
    <w:p>
      <w:pPr>
        <w:pStyle w:val="ListParagraph"/>
        <w:numPr>
          <w:ilvl w:val="0"/>
          <w:numId w:val="1"/>
        </w:numPr>
        <w:spacing w:after="80" w:line="276"/>
        <w:jc w:val="both"/>
      </w:pPr>
      <w:r>
        <w:rPr>
          <w:rFonts w:ascii="Arial" w:cs="Arial" w:eastAsia="Arial" w:hAnsi="Arial"/>
          <w:color w:val="1A202C"/>
          <w:sz w:val="21"/>
          <w:szCs w:val="21"/>
        </w:rPr>
        <w:t xml:space="preserve">4. M13: Strengthens SMB carriers, improves national supply chain resilience by 42% recovery time reduction</w:t>
      </w:r>
    </w:p>
    <w:p>
      <w:pPr>
        <w:pStyle w:val="ListParagraph"/>
        <w:numPr>
          <w:ilvl w:val="0"/>
          <w:numId w:val="1"/>
        </w:numPr>
        <w:spacing w:after="80" w:line="276"/>
        <w:jc w:val="both"/>
      </w:pPr>
      <w:r>
        <w:rPr>
          <w:rFonts w:ascii="Arial" w:cs="Arial" w:eastAsia="Arial" w:hAnsi="Arial"/>
          <w:color w:val="1A202C"/>
          <w:sz w:val="21"/>
          <w:szCs w:val="21"/>
        </w:rPr>
        <w:t xml:space="preserve">5. M12: Bridges $89.5B bilateral trade corridor; only bilingual 4PL in region</w:t>
      </w:r>
    </w:p>
    <w:p>
      <w:pPr>
        <w:spacing w:after="160"/>
      </w:pPr>
    </w:p>
    <w:p>
      <w:pPr>
        <w:pStyle w:val="Heading2"/>
        <w:spacing w:after="160" w:before="280"/>
      </w:pPr>
      <w:r>
        <w:rPr>
          <w:rFonts w:ascii="Arial" w:cs="Arial" w:eastAsia="Arial" w:hAnsi="Arial"/>
          <w:b/>
          <w:bCs/>
          <w:color w:val="0D9488"/>
          <w:sz w:val="26"/>
          <w:szCs w:val="26"/>
        </w:rPr>
        <w:t xml:space="preserve">16.2 Prong 2 — Well Positioned to Advance the Endeavor</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This prong assesses the petitioner's capacity to lead the endeavor. The evidence below articulates credentials, track record, and operational capability.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w:t>
            </w:r>
          </w:p>
        </w:tc>
        <w:tc>
          <w:tcPr>
            <w:tcW w:type="dxa" w:w="856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Key Evidence</w:t>
            </w:r>
          </w:p>
        </w:tc>
      </w:tr>
      <w:tr>
        <w:tc>
          <w:tcPr>
            <w:tcW w:type="dxa" w:w="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1</w:t>
            </w:r>
          </w:p>
        </w:tc>
        <w:tc>
          <w:tcPr>
            <w:tcW w:type="dxa" w:w="85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M7: Outperforms industry benchmarks (125% growth vs 8-12% industry; 18-22% margin vs 10-15% industry)</w:t>
            </w:r>
          </w:p>
        </w:tc>
      </w:tr>
      <w:tr>
        <w:tc>
          <w:tcPr>
            <w:tcW w:type="dxa" w:w="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2</w:t>
            </w:r>
          </w:p>
        </w:tc>
        <w:tc>
          <w:tcPr>
            <w:tcW w:type="dxa" w:w="8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M6: First-mover in bilingual 4PL; only 3-5 known competitors in segment; proprietary technology advantage</w:t>
            </w:r>
          </w:p>
        </w:tc>
      </w:tr>
      <w:tr>
        <w:tc>
          <w:tcPr>
            <w:tcW w:type="dxa" w:w="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3</w:t>
            </w:r>
          </w:p>
        </w:tc>
        <w:tc>
          <w:tcPr>
            <w:tcW w:type="dxa" w:w="85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M13: 12-15 small carriers integrated; 18-22 minority firms strengthened; ecosystem leadership demonstrated</w:t>
            </w:r>
          </w:p>
        </w:tc>
      </w:tr>
      <w:tr>
        <w:tc>
          <w:tcPr>
            <w:tcW w:type="dxa" w:w="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4</w:t>
            </w:r>
          </w:p>
        </w:tc>
        <w:tc>
          <w:tcPr>
            <w:tcW w:type="dxa" w:w="8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Credentials: APICS CSCP, Six Sigma Black Belt, 15+ years experience</w:t>
            </w:r>
          </w:p>
        </w:tc>
      </w:tr>
      <w:tr>
        <w:tc>
          <w:tcPr>
            <w:tcW w:type="dxa" w:w="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5</w:t>
            </w:r>
          </w:p>
        </w:tc>
        <w:tc>
          <w:tcPr>
            <w:tcW w:type="dxa" w:w="85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Business network: 200+ relationships; 80,000-person diaspora community access; established market position</w:t>
            </w:r>
          </w:p>
        </w:tc>
      </w:tr>
    </w:tbl>
    <w:p>
      <w:pPr>
        <w:pStyle w:val="ListParagraph"/>
        <w:numPr>
          <w:ilvl w:val="0"/>
          <w:numId w:val="1"/>
        </w:numPr>
        <w:spacing w:after="80" w:line="276"/>
        <w:jc w:val="both"/>
      </w:pPr>
      <w:r>
        <w:rPr>
          <w:rFonts w:ascii="Arial" w:cs="Arial" w:eastAsia="Arial" w:hAnsi="Arial"/>
          <w:color w:val="1A202C"/>
          <w:sz w:val="21"/>
          <w:szCs w:val="21"/>
        </w:rPr>
        <w:t xml:space="preserve">1. M7: Outperforms industry benchmarks (125% growth vs 8-12% industry; 18-22% margin vs 10-15% industry)</w:t>
      </w:r>
    </w:p>
    <w:p>
      <w:pPr>
        <w:pStyle w:val="ListParagraph"/>
        <w:numPr>
          <w:ilvl w:val="0"/>
          <w:numId w:val="1"/>
        </w:numPr>
        <w:spacing w:after="80" w:line="276"/>
        <w:jc w:val="both"/>
      </w:pPr>
      <w:r>
        <w:rPr>
          <w:rFonts w:ascii="Arial" w:cs="Arial" w:eastAsia="Arial" w:hAnsi="Arial"/>
          <w:color w:val="1A202C"/>
          <w:sz w:val="21"/>
          <w:szCs w:val="21"/>
        </w:rPr>
        <w:t xml:space="preserve">2. M6: First-mover in bilingual 4PL; only 3-5 known competitors in segment; proprietary technology advantage</w:t>
      </w:r>
    </w:p>
    <w:p>
      <w:pPr>
        <w:pStyle w:val="ListParagraph"/>
        <w:numPr>
          <w:ilvl w:val="0"/>
          <w:numId w:val="1"/>
        </w:numPr>
        <w:spacing w:after="80" w:line="276"/>
        <w:jc w:val="both"/>
      </w:pPr>
      <w:r>
        <w:rPr>
          <w:rFonts w:ascii="Arial" w:cs="Arial" w:eastAsia="Arial" w:hAnsi="Arial"/>
          <w:color w:val="1A202C"/>
          <w:sz w:val="21"/>
          <w:szCs w:val="21"/>
        </w:rPr>
        <w:t xml:space="preserve">3. M13: 12-15 small carriers integrated; 18-22 minority firms strengthened; ecosystem leadership demonstrated</w:t>
      </w:r>
    </w:p>
    <w:p>
      <w:pPr>
        <w:pStyle w:val="ListParagraph"/>
        <w:numPr>
          <w:ilvl w:val="0"/>
          <w:numId w:val="1"/>
        </w:numPr>
        <w:spacing w:after="80" w:line="276"/>
        <w:jc w:val="both"/>
      </w:pPr>
      <w:r>
        <w:rPr>
          <w:rFonts w:ascii="Arial" w:cs="Arial" w:eastAsia="Arial" w:hAnsi="Arial"/>
          <w:color w:val="1A202C"/>
          <w:sz w:val="21"/>
          <w:szCs w:val="21"/>
        </w:rPr>
        <w:t xml:space="preserve">4. Credentials: APICS CSCP, Six Sigma Black Belt, 15+ years experience</w:t>
      </w:r>
    </w:p>
    <w:p>
      <w:pPr>
        <w:pStyle w:val="ListParagraph"/>
        <w:numPr>
          <w:ilvl w:val="0"/>
          <w:numId w:val="1"/>
        </w:numPr>
        <w:spacing w:after="80" w:line="276"/>
        <w:jc w:val="both"/>
      </w:pPr>
      <w:r>
        <w:rPr>
          <w:rFonts w:ascii="Arial" w:cs="Arial" w:eastAsia="Arial" w:hAnsi="Arial"/>
          <w:color w:val="1A202C"/>
          <w:sz w:val="21"/>
          <w:szCs w:val="21"/>
        </w:rPr>
        <w:t xml:space="preserve">5. Business network: 200+ relationships; 80,000-person diaspora community access; established market position</w:t>
      </w:r>
    </w:p>
    <w:p>
      <w:pPr>
        <w:spacing w:after="160"/>
      </w:pPr>
    </w:p>
    <w:p>
      <w:pPr>
        <w:pStyle w:val="Heading2"/>
        <w:spacing w:after="160" w:before="280"/>
      </w:pPr>
      <w:r>
        <w:rPr>
          <w:rFonts w:ascii="Arial" w:cs="Arial" w:eastAsia="Arial" w:hAnsi="Arial"/>
          <w:b/>
          <w:bCs/>
          <w:color w:val="0D9488"/>
          <w:sz w:val="26"/>
          <w:szCs w:val="26"/>
        </w:rPr>
        <w:t xml:space="preserve">16.3 Prong 3 — Beneficial to Waive the Job-Offer Requirement</w:t>
      </w:r>
    </w:p>
    <w:p>
      <w:pPr>
        <w:spacing w:after="40"/>
      </w:pPr>
    </w:p>
    <w:p>
      <w:pPr>
        <w:spacing w:after="120" w:line="276"/>
        <w:jc w:val="both"/>
      </w:pPr>
      <w:r>
        <w:rPr>
          <w:rFonts w:ascii="Arial" w:cs="Arial" w:eastAsia="Arial" w:hAnsi="Arial"/>
          <w:b w:val="false"/>
          <w:bCs w:val="false"/>
          <w:i w:val="false"/>
          <w:iCs w:val="false"/>
          <w:color w:val="1A202C"/>
          <w:sz w:val="21"/>
          <w:szCs w:val="21"/>
        </w:rPr>
        <w:t xml:space="preserve">This prong evaluates whether, on balance, it is beneficial to the United States to waive the traditional job-offer and labor-certification requirement.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w:t>
            </w:r>
          </w:p>
        </w:tc>
        <w:tc>
          <w:tcPr>
            <w:tcW w:type="dxa" w:w="8560"/>
            <w:tcBorders>
              <w:top w:val="single" w:color="CBD5E0" w:sz="1"/>
              <w:left w:val="single" w:color="CBD5E0" w:sz="1"/>
              <w:bottom w:val="single" w:color="CBD5E0" w:sz="1"/>
              <w:right w:val="single" w:color="CBD5E0" w:sz="1"/>
            </w:tcBorders>
            <w:shd w:fill="0A16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Key Evidence</w:t>
            </w:r>
          </w:p>
        </w:tc>
      </w:tr>
      <w:tr>
        <w:tc>
          <w:tcPr>
            <w:tcW w:type="dxa" w:w="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1</w:t>
            </w:r>
          </w:p>
        </w:tc>
        <w:tc>
          <w:tcPr>
            <w:tcW w:type="dxa" w:w="85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Inability to control and scale innovations if constrained to single employer's objectives</w:t>
            </w:r>
          </w:p>
        </w:tc>
      </w:tr>
      <w:tr>
        <w:tc>
          <w:tcPr>
            <w:tcW w:type="dxa" w:w="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2</w:t>
            </w:r>
          </w:p>
        </w:tc>
        <w:tc>
          <w:tcPr>
            <w:tcW w:type="dxa" w:w="8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Ecosystem value ($61.2M combined impact) depends on network independence and direct field engagement</w:t>
            </w:r>
          </w:p>
        </w:tc>
      </w:tr>
      <w:tr>
        <w:tc>
          <w:tcPr>
            <w:tcW w:type="dxa" w:w="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3</w:t>
            </w:r>
          </w:p>
        </w:tc>
        <w:tc>
          <w:tcPr>
            <w:tcW w:type="dxa" w:w="85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Supply chain resilience benefits require industry-wide adoption of innovations (licensing, partnerships, open APIs)</w:t>
            </w:r>
          </w:p>
        </w:tc>
      </w:tr>
      <w:tr>
        <w:tc>
          <w:tcPr>
            <w:tcW w:type="dxa" w:w="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1A202C"/>
                <w:sz w:val="17"/>
                <w:szCs w:val="17"/>
              </w:rPr>
              <w:t xml:space="preserve">4</w:t>
            </w:r>
          </w:p>
        </w:tc>
        <w:tc>
          <w:tcPr>
            <w:tcW w:type="dxa" w:w="8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Trade facilitation role ($89.5B corridor) and diaspora activation ($3.8M value) require independent operator status</w:t>
            </w:r>
          </w:p>
        </w:tc>
      </w:tr>
      <w:tr>
        <w:tc>
          <w:tcPr>
            <w:tcW w:type="dxa" w:w="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left"/>
            </w:pPr>
            <w:r>
              <w:rPr>
                <w:rFonts w:ascii="Arial" w:cs="Arial" w:eastAsia="Arial" w:hAnsi="Arial"/>
                <w:b/>
                <w:bCs/>
                <w:color w:val="1A202C"/>
                <w:sz w:val="17"/>
                <w:szCs w:val="17"/>
              </w:rPr>
              <w:t xml:space="preserve">5</w:t>
            </w:r>
          </w:p>
        </w:tc>
        <w:tc>
          <w:tcPr>
            <w:tcW w:type="dxa" w:w="85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M11 SROI (3.42:1) and field diffusion benefits only achievable through independent operations</w:t>
            </w:r>
          </w:p>
        </w:tc>
      </w:tr>
    </w:tbl>
    <w:p>
      <w:pPr>
        <w:pStyle w:val="ListParagraph"/>
        <w:numPr>
          <w:ilvl w:val="0"/>
          <w:numId w:val="1"/>
        </w:numPr>
        <w:spacing w:after="80" w:line="276"/>
        <w:jc w:val="both"/>
      </w:pPr>
      <w:r>
        <w:rPr>
          <w:rFonts w:ascii="Arial" w:cs="Arial" w:eastAsia="Arial" w:hAnsi="Arial"/>
          <w:color w:val="1A202C"/>
          <w:sz w:val="21"/>
          <w:szCs w:val="21"/>
        </w:rPr>
        <w:t xml:space="preserve">1. Inability to control and scale innovations if constrained to single employer's objectives</w:t>
      </w:r>
    </w:p>
    <w:p>
      <w:pPr>
        <w:pStyle w:val="ListParagraph"/>
        <w:numPr>
          <w:ilvl w:val="0"/>
          <w:numId w:val="1"/>
        </w:numPr>
        <w:spacing w:after="80" w:line="276"/>
        <w:jc w:val="both"/>
      </w:pPr>
      <w:r>
        <w:rPr>
          <w:rFonts w:ascii="Arial" w:cs="Arial" w:eastAsia="Arial" w:hAnsi="Arial"/>
          <w:color w:val="1A202C"/>
          <w:sz w:val="21"/>
          <w:szCs w:val="21"/>
        </w:rPr>
        <w:t xml:space="preserve">2. Ecosystem value ($61.2M combined impact) depends on network independence and direct field engagement</w:t>
      </w:r>
    </w:p>
    <w:p>
      <w:pPr>
        <w:pStyle w:val="ListParagraph"/>
        <w:numPr>
          <w:ilvl w:val="0"/>
          <w:numId w:val="1"/>
        </w:numPr>
        <w:spacing w:after="80" w:line="276"/>
        <w:jc w:val="both"/>
      </w:pPr>
      <w:r>
        <w:rPr>
          <w:rFonts w:ascii="Arial" w:cs="Arial" w:eastAsia="Arial" w:hAnsi="Arial"/>
          <w:color w:val="1A202C"/>
          <w:sz w:val="21"/>
          <w:szCs w:val="21"/>
        </w:rPr>
        <w:t xml:space="preserve">3. Supply chain resilience benefits require industry-wide adoption of innovations (licensing, partnerships, open APIs)</w:t>
      </w:r>
    </w:p>
    <w:p>
      <w:pPr>
        <w:pStyle w:val="ListParagraph"/>
        <w:numPr>
          <w:ilvl w:val="0"/>
          <w:numId w:val="1"/>
        </w:numPr>
        <w:spacing w:after="80" w:line="276"/>
        <w:jc w:val="both"/>
      </w:pPr>
      <w:r>
        <w:rPr>
          <w:rFonts w:ascii="Arial" w:cs="Arial" w:eastAsia="Arial" w:hAnsi="Arial"/>
          <w:color w:val="1A202C"/>
          <w:sz w:val="21"/>
          <w:szCs w:val="21"/>
        </w:rPr>
        <w:t xml:space="preserve">4. Trade facilitation role ($89.5B corridor) and diaspora activation ($3.8M value) require independent operator status</w:t>
      </w:r>
    </w:p>
    <w:p>
      <w:pPr>
        <w:pStyle w:val="ListParagraph"/>
        <w:numPr>
          <w:ilvl w:val="0"/>
          <w:numId w:val="1"/>
        </w:numPr>
        <w:spacing w:after="80" w:line="276"/>
        <w:jc w:val="both"/>
      </w:pPr>
      <w:r>
        <w:rPr>
          <w:rFonts w:ascii="Arial" w:cs="Arial" w:eastAsia="Arial" w:hAnsi="Arial"/>
          <w:color w:val="1A202C"/>
          <w:sz w:val="21"/>
          <w:szCs w:val="21"/>
        </w:rPr>
        <w:t xml:space="preserve">5. M11 SROI (3.42:1) and field diffusion benefits only achievable through independent operations</w:t>
      </w:r>
    </w:p>
    <w:p>
      <w:r>
        <w:br w:type="pag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0" w:sz="1" w:space="4"/>
      </w:pBdr>
      <w:tabs>
        <w:tab w:val="right" w:pos="9026"/>
      </w:tabs>
    </w:pPr>
    <w:r>
      <w:rPr>
        <w:rFonts w:ascii="Arial" w:cs="Arial" w:eastAsia="Arial" w:hAnsi="Arial"/>
        <w:color w:val="718096"/>
        <w:sz w:val="14"/>
        <w:szCs w:val="14"/>
      </w:rPr>
      <w:t xml:space="preserve">CONFIDENTIAL | Global Communication LLC | IMPACTO® Suite</w:t>
    </w:r>
    <w:r>
      <w:rPr>
        <w:rFonts w:ascii="Arial" w:cs="Arial" w:eastAsia="Arial" w:hAnsi="Arial"/>
        <w:color w:val="718096"/>
        <w:sz w:val="14"/>
        <w:szCs w:val="14"/>
      </w:rPr>
      <w:t xml:space="preserve">	Page </w:t>
    </w:r>
    <w:r>
      <w:rPr>
        <w:rFonts w:ascii="Arial" w:cs="Arial" w:eastAsia="Arial" w:hAnsi="Arial"/>
        <w:color w:val="71809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9488" w:sz="2" w:space="4"/>
      </w:pBdr>
      <w:tabs>
        <w:tab w:val="right" w:pos="9026"/>
      </w:tabs>
      <w:jc w:val="left"/>
    </w:pPr>
    <w:r>
      <w:rPr>
        <w:rFonts w:ascii="Arial" w:cs="Arial" w:eastAsia="Arial" w:hAnsi="Arial"/>
        <w:i/>
        <w:iCs/>
        <w:color w:val="718096"/>
        <w:sz w:val="16"/>
        <w:szCs w:val="16"/>
      </w:rPr>
      <w:t xml:space="preserve">IMPACTO® Economic Impact Analysis — Logistics Optimization Solutions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A1628"/>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0D948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2026-04-20T17:48:53.322Z</dcterms:created>
  <dcterms:modified xsi:type="dcterms:W3CDTF">2026-04-20T17:48:53.323Z</dcterms:modified>
</cp:coreProperties>
</file>

<file path=docProps/custom.xml><?xml version="1.0" encoding="utf-8"?>
<Properties xmlns="http://schemas.openxmlformats.org/officeDocument/2006/custom-properties" xmlns:vt="http://schemas.openxmlformats.org/officeDocument/2006/docPropsVTypes"/>
</file>