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A944" w14:textId="66AC2165" w:rsidR="00ED1B83" w:rsidRPr="00ED1B83" w:rsidRDefault="00ED1B83">
      <w:pPr>
        <w:rPr>
          <w:rFonts w:ascii="Arial" w:hAnsi="Arial" w:cs="Arial"/>
          <w:b/>
          <w:bCs/>
          <w:color w:val="EE0000"/>
          <w:sz w:val="24"/>
          <w:szCs w:val="24"/>
        </w:rPr>
      </w:pPr>
      <w:r w:rsidRPr="00ED1B83">
        <w:rPr>
          <w:rFonts w:ascii="Arial" w:hAnsi="Arial" w:cs="Arial"/>
          <w:b/>
          <w:bCs/>
          <w:color w:val="EE0000"/>
          <w:sz w:val="24"/>
          <w:szCs w:val="24"/>
        </w:rPr>
        <w:t>ALTO RISCO</w:t>
      </w:r>
    </w:p>
    <w:p w14:paraId="30C1E5EC" w14:textId="73D86F60" w:rsidR="00ED1B83" w:rsidRPr="00ED1B83" w:rsidRDefault="00ED1B83">
      <w:pPr>
        <w:rPr>
          <w:rFonts w:ascii="Arial" w:hAnsi="Arial" w:cs="Arial"/>
          <w:b/>
          <w:bCs/>
          <w:sz w:val="24"/>
          <w:szCs w:val="24"/>
        </w:rPr>
      </w:pPr>
      <w:r w:rsidRPr="00ED1B83">
        <w:rPr>
          <w:rFonts w:ascii="Arial" w:hAnsi="Arial" w:cs="Arial"/>
          <w:b/>
          <w:bCs/>
          <w:sz w:val="24"/>
          <w:szCs w:val="24"/>
        </w:rPr>
        <w:t xml:space="preserve">Características do nascimento: </w:t>
      </w:r>
    </w:p>
    <w:p w14:paraId="669073EF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Peso ao nascer &lt; 2.000g e ≥ 4.000g; </w:t>
      </w:r>
    </w:p>
    <w:p w14:paraId="08D85B4C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Idade gestacional ≤ 34 semanas; </w:t>
      </w:r>
    </w:p>
    <w:p w14:paraId="15F5E670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Asfixia perinatal (APGAR &lt; 7 no 5º minuto); </w:t>
      </w:r>
    </w:p>
    <w:p w14:paraId="699C8708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Hiperbilirrubinemia exsanguineotransfusão; com </w:t>
      </w:r>
    </w:p>
    <w:p w14:paraId="513E95F1" w14:textId="690B17CA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Malformações congênitas grave (com repercussão clínica); </w:t>
      </w:r>
    </w:p>
    <w:p w14:paraId="64CC1EBF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Doenças genéticas cromossomopatias </w:t>
      </w:r>
    </w:p>
    <w:p w14:paraId="5C7893C1" w14:textId="77777777" w:rsidR="00ED1B83" w:rsidRPr="00ED1B83" w:rsidRDefault="00ED1B83">
      <w:pPr>
        <w:rPr>
          <w:rFonts w:ascii="Arial" w:hAnsi="Arial" w:cs="Arial"/>
          <w:b/>
          <w:bCs/>
          <w:sz w:val="24"/>
          <w:szCs w:val="24"/>
        </w:rPr>
      </w:pPr>
      <w:r w:rsidRPr="00ED1B83">
        <w:rPr>
          <w:rFonts w:ascii="Arial" w:hAnsi="Arial" w:cs="Arial"/>
          <w:b/>
          <w:bCs/>
          <w:sz w:val="24"/>
          <w:szCs w:val="24"/>
        </w:rPr>
        <w:t xml:space="preserve">Entre 1 mês e 2 anos </w:t>
      </w:r>
    </w:p>
    <w:p w14:paraId="7CD37003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Infecções crônicas do grupo STORCHZ + HIV confirmadas ou em investigação; </w:t>
      </w:r>
    </w:p>
    <w:p w14:paraId="03DCD344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Doença genética, malformações congênitas graves (com repercussão clínica), cromossomopatias e doenças metabólicas com repercussão clínica; </w:t>
      </w:r>
    </w:p>
    <w:p w14:paraId="54FDBA0A" w14:textId="6F63455C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Testes de triagem neonatal alterados; </w:t>
      </w:r>
    </w:p>
    <w:p w14:paraId="45A9FA2D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Desenvolvimento psicomotor insatisfatório para a faixa etária; </w:t>
      </w:r>
    </w:p>
    <w:p w14:paraId="11FFCBA3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Sinais de violência / maus tratos; </w:t>
      </w:r>
    </w:p>
    <w:p w14:paraId="36D5BB6C" w14:textId="77777777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Desnutrição grave e/ou obesidade; </w:t>
      </w:r>
    </w:p>
    <w:p w14:paraId="42A8B67C" w14:textId="2467A29A" w:rsidR="00ED1B83" w:rsidRPr="00ED1B83" w:rsidRDefault="00ED1B83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>● Intercorrências repetidas com repercussão clínica – após segunda internação.</w:t>
      </w:r>
    </w:p>
    <w:p w14:paraId="18470991" w14:textId="77777777" w:rsidR="00ED1B83" w:rsidRDefault="00ED1B83">
      <w:pPr>
        <w:rPr>
          <w:rFonts w:ascii="Arial" w:hAnsi="Arial" w:cs="Arial"/>
          <w:b/>
          <w:bCs/>
          <w:color w:val="FFC000"/>
          <w:sz w:val="24"/>
          <w:szCs w:val="24"/>
        </w:rPr>
      </w:pPr>
    </w:p>
    <w:p w14:paraId="505A3A41" w14:textId="2BEA50C2" w:rsidR="00ED1B83" w:rsidRPr="00ED1B83" w:rsidRDefault="00ED1B83">
      <w:pPr>
        <w:rPr>
          <w:rFonts w:ascii="Arial" w:hAnsi="Arial" w:cs="Arial"/>
          <w:b/>
          <w:bCs/>
          <w:color w:val="FFC000"/>
          <w:sz w:val="24"/>
          <w:szCs w:val="24"/>
        </w:rPr>
      </w:pPr>
      <w:r w:rsidRPr="00ED1B83">
        <w:rPr>
          <w:rFonts w:ascii="Arial" w:hAnsi="Arial" w:cs="Arial"/>
          <w:b/>
          <w:bCs/>
          <w:color w:val="FFC000"/>
          <w:sz w:val="24"/>
          <w:szCs w:val="24"/>
        </w:rPr>
        <w:t>MODERADO RISCO</w:t>
      </w:r>
    </w:p>
    <w:p w14:paraId="3DFD009E" w14:textId="320A4DDF" w:rsidR="00B55CC4" w:rsidRPr="00ED1B83" w:rsidRDefault="00B55CC4">
      <w:pPr>
        <w:rPr>
          <w:rFonts w:ascii="Arial" w:hAnsi="Arial" w:cs="Arial"/>
          <w:b/>
          <w:bCs/>
          <w:sz w:val="24"/>
          <w:szCs w:val="24"/>
        </w:rPr>
      </w:pPr>
      <w:r w:rsidRPr="00ED1B83">
        <w:rPr>
          <w:rFonts w:ascii="Arial" w:hAnsi="Arial" w:cs="Arial"/>
          <w:b/>
          <w:bCs/>
          <w:sz w:val="24"/>
          <w:szCs w:val="24"/>
        </w:rPr>
        <w:t>Características individuais e socioeconômicas materna:</w:t>
      </w:r>
    </w:p>
    <w:p w14:paraId="0AC8C2C8" w14:textId="52E533B1" w:rsidR="00B55CC4" w:rsidRPr="00ED1B83" w:rsidRDefault="00B55CC4">
      <w:pPr>
        <w:rPr>
          <w:rFonts w:ascii="Arial" w:hAnsi="Arial" w:cs="Arial"/>
          <w:b/>
          <w:bCs/>
          <w:sz w:val="24"/>
          <w:szCs w:val="24"/>
        </w:rPr>
      </w:pPr>
      <w:r w:rsidRPr="00ED1B83">
        <w:rPr>
          <w:rFonts w:ascii="Arial" w:hAnsi="Arial" w:cs="Arial"/>
          <w:b/>
          <w:bCs/>
          <w:sz w:val="24"/>
          <w:szCs w:val="24"/>
        </w:rPr>
        <w:t xml:space="preserve"> Filhos de mães: </w:t>
      </w:r>
    </w:p>
    <w:p w14:paraId="556C3EF7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infecção intrauterina (STORCHZ 4) + HIV; </w:t>
      </w:r>
    </w:p>
    <w:p w14:paraId="20EA888D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Em situação de vulnerabilidade: em situação de rua, indígenas, ciganas, quilombolas, migrantes ou negras; </w:t>
      </w:r>
    </w:p>
    <w:p w14:paraId="72960F46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menos de 04 consultas de pré-natal;</w:t>
      </w:r>
    </w:p>
    <w:p w14:paraId="6003B553" w14:textId="095022E6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menos de 15 ou mais de 40 anos de idade; </w:t>
      </w:r>
    </w:p>
    <w:p w14:paraId="547D1FB9" w14:textId="73678036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menos de 20 anos e mais de 03 partos; </w:t>
      </w:r>
    </w:p>
    <w:p w14:paraId="54CA0706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Analfabetas ou com menos de 03 anos de estudo; </w:t>
      </w:r>
    </w:p>
    <w:p w14:paraId="6D062899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Que apresentaram exantema durante a gestação; </w:t>
      </w:r>
    </w:p>
    <w:p w14:paraId="4684B737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lastRenderedPageBreak/>
        <w:t>❖</w:t>
      </w:r>
      <w:r w:rsidRPr="00ED1B83">
        <w:rPr>
          <w:rFonts w:ascii="Arial" w:hAnsi="Arial" w:cs="Arial"/>
          <w:sz w:val="24"/>
          <w:szCs w:val="24"/>
        </w:rPr>
        <w:t xml:space="preserve"> Com gravidez indesejada 5; </w:t>
      </w:r>
    </w:p>
    <w:p w14:paraId="77D5D9B4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gravidez decorrente de violência sexual; </w:t>
      </w:r>
    </w:p>
    <w:p w14:paraId="47C9A2CF" w14:textId="6125AEC8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histórico de óbito em gestação anterior</w:t>
      </w:r>
      <w:r w:rsidR="00ED1B83">
        <w:rPr>
          <w:rFonts w:ascii="Arial" w:hAnsi="Arial" w:cs="Arial"/>
          <w:sz w:val="24"/>
          <w:szCs w:val="24"/>
        </w:rPr>
        <w:t>;</w:t>
      </w:r>
    </w:p>
    <w:p w14:paraId="156CE186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Óbito de irmão menor que 05 anos por causas evitáveis; </w:t>
      </w:r>
    </w:p>
    <w:p w14:paraId="3B3AB35A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Com histórico de violência interpessoal; </w:t>
      </w:r>
    </w:p>
    <w:p w14:paraId="56A946CD" w14:textId="1EF6EE23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Mãe sem suporte familiar ; </w:t>
      </w:r>
    </w:p>
    <w:p w14:paraId="2F206F62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Chefe da família sem fonte de renda; </w:t>
      </w:r>
    </w:p>
    <w:p w14:paraId="45BE8B2A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Depressão pós-parto); </w:t>
      </w:r>
    </w:p>
    <w:p w14:paraId="6E9A4F49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Um dos pais com: transtorno mental severo, deficiência física e/ou doença neurológica; </w:t>
      </w:r>
    </w:p>
    <w:p w14:paraId="301BF9D3" w14:textId="45730882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Pais com dependência de álcool e/ou outras drogas</w:t>
      </w:r>
    </w:p>
    <w:p w14:paraId="305D5310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Mãe ausente por doença, abandono ou óbito; </w:t>
      </w:r>
    </w:p>
    <w:p w14:paraId="072AF66F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Cuidador não habilitado para o cuidado com o RN; </w:t>
      </w:r>
    </w:p>
    <w:p w14:paraId="2FCDC809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Segoe UI Symbol" w:hAnsi="Segoe UI Symbol" w:cs="Segoe UI Symbol"/>
          <w:sz w:val="24"/>
          <w:szCs w:val="24"/>
        </w:rPr>
        <w:t>❖</w:t>
      </w:r>
      <w:r w:rsidRPr="00ED1B83">
        <w:rPr>
          <w:rFonts w:ascii="Arial" w:hAnsi="Arial" w:cs="Arial"/>
          <w:sz w:val="24"/>
          <w:szCs w:val="24"/>
        </w:rPr>
        <w:t xml:space="preserve"> Sem acesso a saneamento básico e/ou água potável. </w:t>
      </w:r>
    </w:p>
    <w:p w14:paraId="380872B7" w14:textId="77777777" w:rsidR="00B55CC4" w:rsidRPr="00ED1B83" w:rsidRDefault="00B55CC4">
      <w:pPr>
        <w:rPr>
          <w:rFonts w:ascii="Arial" w:hAnsi="Arial" w:cs="Arial"/>
          <w:b/>
          <w:bCs/>
          <w:sz w:val="24"/>
          <w:szCs w:val="24"/>
        </w:rPr>
      </w:pPr>
      <w:r w:rsidRPr="00ED1B83">
        <w:rPr>
          <w:rFonts w:ascii="Arial" w:hAnsi="Arial" w:cs="Arial"/>
          <w:b/>
          <w:bCs/>
          <w:sz w:val="24"/>
          <w:szCs w:val="24"/>
        </w:rPr>
        <w:t xml:space="preserve">Características do nascimento: </w:t>
      </w:r>
    </w:p>
    <w:p w14:paraId="4C6C16D5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Peso ao nascer ≥ 2.000g e &lt; 2.500g; </w:t>
      </w:r>
    </w:p>
    <w:p w14:paraId="55E32D54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Idade gestacional entre ≥ 35 e &lt; 37 semanas; </w:t>
      </w:r>
    </w:p>
    <w:p w14:paraId="77414503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Anomalias congênitas menores ; </w:t>
      </w:r>
    </w:p>
    <w:p w14:paraId="3C0930D0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b/>
          <w:bCs/>
          <w:sz w:val="24"/>
          <w:szCs w:val="24"/>
        </w:rPr>
        <w:t>Entre 1 mês e 2 anos</w:t>
      </w:r>
      <w:r w:rsidRPr="00ED1B83">
        <w:rPr>
          <w:rFonts w:ascii="Arial" w:hAnsi="Arial" w:cs="Arial"/>
          <w:sz w:val="24"/>
          <w:szCs w:val="24"/>
        </w:rPr>
        <w:t xml:space="preserve"> </w:t>
      </w:r>
    </w:p>
    <w:p w14:paraId="40420DC9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Internação ou intercorrência na maternidade ou em unidade neonatal; </w:t>
      </w:r>
    </w:p>
    <w:p w14:paraId="45C42E72" w14:textId="179BA4C9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Criança sem realização de triagem neonatal; </w:t>
      </w:r>
    </w:p>
    <w:p w14:paraId="23A0369C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Desmame precoce (antes do 6º mês de vida); </w:t>
      </w:r>
    </w:p>
    <w:p w14:paraId="60D61F0C" w14:textId="5C7BDF22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Desnutrição ou curva pondero estatural estacionária ou em declínio e/ou carências nutricionais ou sobrepeso; </w:t>
      </w:r>
    </w:p>
    <w:p w14:paraId="5408A00D" w14:textId="77777777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Criança não vacinada ou com esquema vacinal atrasado ; </w:t>
      </w:r>
    </w:p>
    <w:p w14:paraId="5D81A186" w14:textId="0D4EA25E" w:rsidR="00B55CC4" w:rsidRPr="00ED1B83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 xml:space="preserve">● Cárie; </w:t>
      </w:r>
    </w:p>
    <w:p w14:paraId="06EE15F1" w14:textId="595950F9" w:rsidR="009C1404" w:rsidRDefault="00B55CC4">
      <w:pPr>
        <w:rPr>
          <w:rFonts w:ascii="Arial" w:hAnsi="Arial" w:cs="Arial"/>
          <w:sz w:val="24"/>
          <w:szCs w:val="24"/>
        </w:rPr>
      </w:pPr>
      <w:r w:rsidRPr="00ED1B83">
        <w:rPr>
          <w:rFonts w:ascii="Arial" w:hAnsi="Arial" w:cs="Arial"/>
          <w:sz w:val="24"/>
          <w:szCs w:val="24"/>
        </w:rPr>
        <w:t>● Criança com 03 ou mais atendimentos em pronto socorro em um período de 3 meses.</w:t>
      </w:r>
    </w:p>
    <w:p w14:paraId="55541B6C" w14:textId="77777777" w:rsidR="00ED1B83" w:rsidRDefault="00ED1B83">
      <w:pPr>
        <w:rPr>
          <w:rFonts w:ascii="Arial" w:hAnsi="Arial" w:cs="Arial"/>
          <w:sz w:val="24"/>
          <w:szCs w:val="24"/>
        </w:rPr>
      </w:pPr>
    </w:p>
    <w:p w14:paraId="78779410" w14:textId="77777777" w:rsidR="00ED1B83" w:rsidRDefault="00ED1B83">
      <w:pPr>
        <w:rPr>
          <w:rFonts w:ascii="Arial" w:hAnsi="Arial" w:cs="Arial"/>
          <w:sz w:val="24"/>
          <w:szCs w:val="24"/>
        </w:rPr>
      </w:pPr>
    </w:p>
    <w:p w14:paraId="01F97853" w14:textId="5A89CB49" w:rsidR="00ED1B83" w:rsidRPr="00ED1B83" w:rsidRDefault="00ED1B8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color w:val="FFC000"/>
          <w:sz w:val="24"/>
          <w:szCs w:val="24"/>
        </w:rPr>
        <w:lastRenderedPageBreak/>
        <w:drawing>
          <wp:inline distT="0" distB="0" distL="0" distR="0" wp14:anchorId="7348A621" wp14:editId="16495854">
            <wp:extent cx="6019800" cy="4366260"/>
            <wp:effectExtent l="0" t="0" r="0" b="0"/>
            <wp:docPr id="102205112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51127" name="Imagem 1" descr="Tabela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B83" w:rsidRPr="00ED1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C4"/>
    <w:rsid w:val="000C4B41"/>
    <w:rsid w:val="003A666E"/>
    <w:rsid w:val="003B34C2"/>
    <w:rsid w:val="008D1DCA"/>
    <w:rsid w:val="009C1404"/>
    <w:rsid w:val="00AB21AC"/>
    <w:rsid w:val="00B55CC4"/>
    <w:rsid w:val="00ED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6D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C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C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C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C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C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C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2121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2026-09-25T04:37:00Z</dcterms:created>
  <dcterms:modified xsi:type="dcterms:W3CDTF">2026-09-25T04:37:00Z</dcterms:modified>
</cp:coreProperties>
</file>