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00B1" w14:textId="77777777" w:rsidR="00000000" w:rsidRDefault="00000000">
      <w:pPr>
        <w:pStyle w:val="Heading1"/>
        <w:rPr>
          <w:rFonts w:ascii="Calibri" w:eastAsia="Times New Roman" w:hAnsi="Calibri" w:cs="Calibri"/>
          <w:color w:val="000000"/>
        </w:rPr>
      </w:pPr>
      <w:r>
        <w:rPr>
          <w:rFonts w:ascii="Calibri" w:eastAsia="Times New Roman" w:hAnsi="Calibri" w:cs="Calibri"/>
          <w:color w:val="000000"/>
        </w:rPr>
        <w:t>KOLAWOLE PAUL OSHIKOYA</w:t>
      </w:r>
    </w:p>
    <w:p w14:paraId="6F253EA5" w14:textId="77777777" w:rsidR="00000000" w:rsidRDefault="00000000">
      <w:pPr>
        <w:pStyle w:val="contact"/>
        <w:rPr>
          <w:rFonts w:ascii="Calibri" w:hAnsi="Calibri" w:cs="Calibri"/>
          <w:color w:val="000000"/>
        </w:rPr>
      </w:pPr>
      <w:r>
        <w:rPr>
          <w:rFonts w:ascii="Calibri" w:hAnsi="Calibri" w:cs="Calibri"/>
          <w:color w:val="000000"/>
        </w:rPr>
        <w:t>07853 176 235 | pauloshikoya@gmail.com | linkedin.com/in/</w:t>
      </w:r>
      <w:proofErr w:type="spellStart"/>
      <w:r>
        <w:rPr>
          <w:rFonts w:ascii="Calibri" w:hAnsi="Calibri" w:cs="Calibri"/>
          <w:color w:val="000000"/>
        </w:rPr>
        <w:t>pauloshikoya</w:t>
      </w:r>
      <w:proofErr w:type="spellEnd"/>
    </w:p>
    <w:p w14:paraId="02E13090" w14:textId="77777777" w:rsidR="00000000" w:rsidRDefault="00000000">
      <w:pPr>
        <w:pStyle w:val="headline"/>
        <w:rPr>
          <w:rFonts w:ascii="Calibri" w:hAnsi="Calibri" w:cs="Calibri"/>
          <w:color w:val="000000"/>
        </w:rPr>
      </w:pPr>
      <w:r>
        <w:rPr>
          <w:rFonts w:ascii="Calibri" w:hAnsi="Calibri" w:cs="Calibri"/>
          <w:color w:val="000000"/>
        </w:rPr>
        <w:t>Data Engineer | Data Products &amp; Data Quality | Python · SQL · Power BI (DAX, Power Query) · Data Governance &amp; Metadata</w:t>
      </w:r>
    </w:p>
    <w:p w14:paraId="1410B817" w14:textId="77777777" w:rsidR="00000000" w:rsidRDefault="00000000">
      <w:pPr>
        <w:pStyle w:val="Heading2"/>
        <w:rPr>
          <w:rFonts w:ascii="Calibri" w:eastAsia="Times New Roman" w:hAnsi="Calibri" w:cs="Calibri"/>
          <w:color w:val="000000"/>
        </w:rPr>
      </w:pPr>
      <w:r>
        <w:rPr>
          <w:rFonts w:ascii="Calibri" w:eastAsia="Times New Roman" w:hAnsi="Calibri" w:cs="Calibri"/>
          <w:color w:val="000000"/>
        </w:rPr>
        <w:t>Profile</w:t>
      </w:r>
    </w:p>
    <w:p w14:paraId="6073118A" w14:textId="77777777" w:rsidR="00000000" w:rsidRDefault="00000000">
      <w:pPr>
        <w:pStyle w:val="NormalWeb"/>
        <w:rPr>
          <w:rFonts w:ascii="Calibri" w:hAnsi="Calibri" w:cs="Calibri"/>
          <w:color w:val="000000"/>
          <w:sz w:val="21"/>
          <w:szCs w:val="21"/>
        </w:rPr>
      </w:pPr>
      <w:r>
        <w:rPr>
          <w:rFonts w:ascii="Calibri" w:hAnsi="Calibri" w:cs="Calibri"/>
          <w:color w:val="000000"/>
          <w:sz w:val="21"/>
          <w:szCs w:val="21"/>
        </w:rPr>
        <w:t>Data Engineer with 9+ years in data across regulated banking. For the past two years I have engineered and governed a multi-account cloud data platform used by 300+ engineers at Santander UK. Before that I worked in data solution design, financial crime analytics and, for five years, customer insight at Polaris Bank. I build ETL pipelines, data quality rules and Power BI semantic models. I have also run federated governance in practice: data is classified once in a central governance account, and the access rules are rolled out automatically to producer, analytics and exchange domains. I work across business and technical teams, explain data problems in plain English, and make sure every number can be traced back to source.</w:t>
      </w:r>
    </w:p>
    <w:p w14:paraId="3974BB0B" w14:textId="77777777" w:rsidR="00000000" w:rsidRDefault="00000000">
      <w:pPr>
        <w:pStyle w:val="Heading2"/>
        <w:rPr>
          <w:rFonts w:ascii="Calibri" w:eastAsia="Times New Roman" w:hAnsi="Calibri" w:cs="Calibri"/>
          <w:color w:val="000000"/>
        </w:rPr>
      </w:pPr>
      <w:r>
        <w:rPr>
          <w:rFonts w:ascii="Calibri" w:eastAsia="Times New Roman" w:hAnsi="Calibri" w:cs="Calibri"/>
          <w:color w:val="000000"/>
        </w:rPr>
        <w:t>Core Skills</w:t>
      </w:r>
    </w:p>
    <w:p w14:paraId="4E385BA7" w14:textId="77777777" w:rsidR="00000000" w:rsidRDefault="00000000">
      <w:pPr>
        <w:numPr>
          <w:ilvl w:val="0"/>
          <w:numId w:val="1"/>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Data engineering and ETL:</w:t>
      </w:r>
      <w:r>
        <w:rPr>
          <w:rFonts w:ascii="Calibri" w:eastAsia="Times New Roman" w:hAnsi="Calibri" w:cs="Calibri"/>
          <w:color w:val="000000"/>
          <w:sz w:val="21"/>
          <w:szCs w:val="21"/>
        </w:rPr>
        <w:t xml:space="preserve"> Python; advanced SQL (joins, CTEs, window functions, execution plans, indexing); AWS Glue and S3 batch ETL; Spark on EMR; Lambda and </w:t>
      </w:r>
      <w:proofErr w:type="spellStart"/>
      <w:r>
        <w:rPr>
          <w:rFonts w:ascii="Calibri" w:eastAsia="Times New Roman" w:hAnsi="Calibri" w:cs="Calibri"/>
          <w:color w:val="000000"/>
          <w:sz w:val="21"/>
          <w:szCs w:val="21"/>
        </w:rPr>
        <w:t>EventBridge</w:t>
      </w:r>
      <w:proofErr w:type="spellEnd"/>
      <w:r>
        <w:rPr>
          <w:rFonts w:ascii="Calibri" w:eastAsia="Times New Roman" w:hAnsi="Calibri" w:cs="Calibri"/>
          <w:color w:val="000000"/>
          <w:sz w:val="21"/>
          <w:szCs w:val="21"/>
        </w:rPr>
        <w:t>; Terraform; Git (GitHub, GitLab); GitHub Actions and GitLab CI</w:t>
      </w:r>
    </w:p>
    <w:p w14:paraId="6320FA85" w14:textId="77777777" w:rsidR="00000000" w:rsidRDefault="00000000">
      <w:pPr>
        <w:numPr>
          <w:ilvl w:val="0"/>
          <w:numId w:val="1"/>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Data modelling and BI:</w:t>
      </w:r>
      <w:r>
        <w:rPr>
          <w:rFonts w:ascii="Calibri" w:eastAsia="Times New Roman" w:hAnsi="Calibri" w:cs="Calibri"/>
          <w:color w:val="000000"/>
          <w:sz w:val="21"/>
          <w:szCs w:val="21"/>
        </w:rPr>
        <w:t xml:space="preserve"> Star schemas (fact and dimension tables); Power BI semantic models; DAX; Power Query (M); incremental refresh; accessible report design; Excel (Power Query, pivot tables); SAS; SPSS</w:t>
      </w:r>
    </w:p>
    <w:p w14:paraId="0337ACE4" w14:textId="77777777" w:rsidR="00000000" w:rsidRDefault="00000000">
      <w:pPr>
        <w:numPr>
          <w:ilvl w:val="0"/>
          <w:numId w:val="1"/>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Data quality and profiling:</w:t>
      </w:r>
      <w:r>
        <w:rPr>
          <w:rFonts w:ascii="Calibri" w:eastAsia="Times New Roman" w:hAnsi="Calibri" w:cs="Calibri"/>
          <w:color w:val="000000"/>
          <w:sz w:val="21"/>
          <w:szCs w:val="21"/>
        </w:rPr>
        <w:t xml:space="preserve"> Informatica Data Quality profiling; source-to-target reconciliation; Python validation rules (identifiers, data types, record consistency); UAT reconciliation; </w:t>
      </w:r>
      <w:proofErr w:type="spellStart"/>
      <w:r>
        <w:rPr>
          <w:rFonts w:ascii="Calibri" w:eastAsia="Times New Roman" w:hAnsi="Calibri" w:cs="Calibri"/>
          <w:color w:val="000000"/>
          <w:sz w:val="21"/>
          <w:szCs w:val="21"/>
        </w:rPr>
        <w:t>pytest</w:t>
      </w:r>
      <w:proofErr w:type="spellEnd"/>
      <w:r>
        <w:rPr>
          <w:rFonts w:ascii="Calibri" w:eastAsia="Times New Roman" w:hAnsi="Calibri" w:cs="Calibri"/>
          <w:color w:val="000000"/>
          <w:sz w:val="21"/>
          <w:szCs w:val="21"/>
        </w:rPr>
        <w:t xml:space="preserve"> and moto</w:t>
      </w:r>
    </w:p>
    <w:p w14:paraId="09F061E0" w14:textId="77777777" w:rsidR="00000000" w:rsidRDefault="00000000">
      <w:pPr>
        <w:numPr>
          <w:ilvl w:val="0"/>
          <w:numId w:val="1"/>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Governance and metadata:</w:t>
      </w:r>
      <w:r>
        <w:rPr>
          <w:rFonts w:ascii="Calibri" w:eastAsia="Times New Roman" w:hAnsi="Calibri" w:cs="Calibri"/>
          <w:color w:val="000000"/>
          <w:sz w:val="21"/>
          <w:szCs w:val="21"/>
        </w:rPr>
        <w:t xml:space="preserve"> Lake Formation tag-based access control; classification at database, table and column level (GDPR, PCI DSS, BCBS 239); metadata cataloguing; lineage; data dictionaries; IAM and role-based access</w:t>
      </w:r>
    </w:p>
    <w:p w14:paraId="65E786F2" w14:textId="77777777" w:rsidR="00000000" w:rsidRDefault="00000000">
      <w:pPr>
        <w:numPr>
          <w:ilvl w:val="0"/>
          <w:numId w:val="1"/>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Data mesh in practice:</w:t>
      </w:r>
      <w:r>
        <w:rPr>
          <w:rFonts w:ascii="Calibri" w:eastAsia="Times New Roman" w:hAnsi="Calibri" w:cs="Calibri"/>
          <w:color w:val="000000"/>
          <w:sz w:val="21"/>
          <w:szCs w:val="21"/>
        </w:rPr>
        <w:t xml:space="preserve"> Central governance with domain accounts (producer, analytics, exchange); producer and consumer onboarding; self-service data access</w:t>
      </w:r>
    </w:p>
    <w:p w14:paraId="7E30E810" w14:textId="77777777" w:rsidR="00000000" w:rsidRDefault="00000000">
      <w:pPr>
        <w:numPr>
          <w:ilvl w:val="0"/>
          <w:numId w:val="1"/>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APIs and automation:</w:t>
      </w:r>
      <w:r>
        <w:rPr>
          <w:rFonts w:ascii="Calibri" w:eastAsia="Times New Roman" w:hAnsi="Calibri" w:cs="Calibri"/>
          <w:color w:val="000000"/>
          <w:sz w:val="21"/>
          <w:szCs w:val="21"/>
        </w:rPr>
        <w:t xml:space="preserve"> Python </w:t>
      </w:r>
      <w:proofErr w:type="spellStart"/>
      <w:r>
        <w:rPr>
          <w:rFonts w:ascii="Calibri" w:eastAsia="Times New Roman" w:hAnsi="Calibri" w:cs="Calibri"/>
          <w:color w:val="000000"/>
          <w:sz w:val="21"/>
          <w:szCs w:val="21"/>
        </w:rPr>
        <w:t>FastAPI</w:t>
      </w:r>
      <w:proofErr w:type="spellEnd"/>
      <w:r>
        <w:rPr>
          <w:rFonts w:ascii="Calibri" w:eastAsia="Times New Roman" w:hAnsi="Calibri" w:cs="Calibri"/>
          <w:color w:val="000000"/>
          <w:sz w:val="21"/>
          <w:szCs w:val="21"/>
        </w:rPr>
        <w:t>; REST integration with Jira; event-driven automation; Amazon Bedrock (EMR Advisor) with usage guardrails</w:t>
      </w:r>
    </w:p>
    <w:p w14:paraId="3543AFE4" w14:textId="77777777" w:rsidR="00000000" w:rsidRDefault="00000000">
      <w:pPr>
        <w:numPr>
          <w:ilvl w:val="0"/>
          <w:numId w:val="1"/>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Delivery:</w:t>
      </w:r>
      <w:r>
        <w:rPr>
          <w:rFonts w:ascii="Calibri" w:eastAsia="Times New Roman" w:hAnsi="Calibri" w:cs="Calibri"/>
          <w:color w:val="000000"/>
          <w:sz w:val="21"/>
          <w:szCs w:val="21"/>
        </w:rPr>
        <w:t xml:space="preserve"> Jira, Confluence, Agile (backlog refinement, sprint planning), phased DEV → PRE → PROD releases</w:t>
      </w:r>
    </w:p>
    <w:p w14:paraId="00BF7DE5" w14:textId="1BD02DF6" w:rsidR="00000000" w:rsidRDefault="00000000">
      <w:pPr>
        <w:numPr>
          <w:ilvl w:val="0"/>
          <w:numId w:val="1"/>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Building now:</w:t>
      </w:r>
      <w:r>
        <w:rPr>
          <w:rFonts w:ascii="Calibri" w:eastAsia="Times New Roman" w:hAnsi="Calibri" w:cs="Calibri"/>
          <w:color w:val="000000"/>
          <w:sz w:val="21"/>
          <w:szCs w:val="21"/>
        </w:rPr>
        <w:t xml:space="preserve"> Microsoft Azure (fundamentals) </w:t>
      </w:r>
      <w:r>
        <w:rPr>
          <w:rStyle w:val="confirm"/>
          <w:rFonts w:ascii="Calibri" w:eastAsia="Times New Roman" w:hAnsi="Calibri" w:cs="Calibri"/>
          <w:color w:val="000000"/>
          <w:sz w:val="21"/>
          <w:szCs w:val="21"/>
          <w:highlight w:val="none"/>
        </w:rPr>
        <w:t>[AZ-900 / DP-203 / DP-700 status]</w:t>
      </w:r>
      <w:r>
        <w:rPr>
          <w:rFonts w:ascii="Calibri" w:eastAsia="Times New Roman" w:hAnsi="Calibri" w:cs="Calibri"/>
          <w:color w:val="000000"/>
          <w:sz w:val="21"/>
          <w:szCs w:val="21"/>
        </w:rPr>
        <w:t xml:space="preserve">; Snowflake; </w:t>
      </w:r>
      <w:proofErr w:type="spellStart"/>
      <w:r>
        <w:rPr>
          <w:rFonts w:ascii="Calibri" w:eastAsia="Times New Roman" w:hAnsi="Calibri" w:cs="Calibri"/>
          <w:color w:val="000000"/>
          <w:sz w:val="21"/>
          <w:szCs w:val="21"/>
        </w:rPr>
        <w:t>dbt</w:t>
      </w:r>
      <w:proofErr w:type="spellEnd"/>
      <w:r>
        <w:rPr>
          <w:rFonts w:ascii="Calibri" w:eastAsia="Times New Roman" w:hAnsi="Calibri" w:cs="Calibri"/>
          <w:color w:val="000000"/>
          <w:sz w:val="21"/>
          <w:szCs w:val="21"/>
        </w:rPr>
        <w:t xml:space="preserve"> </w:t>
      </w:r>
      <w:r>
        <w:rPr>
          <w:rStyle w:val="confirm"/>
          <w:rFonts w:ascii="Calibri" w:eastAsia="Times New Roman" w:hAnsi="Calibri" w:cs="Calibri"/>
          <w:color w:val="000000"/>
          <w:sz w:val="21"/>
          <w:szCs w:val="21"/>
          <w:highlight w:val="none"/>
        </w:rPr>
        <w:t>[</w:t>
      </w:r>
      <w:proofErr w:type="spellStart"/>
      <w:r>
        <w:rPr>
          <w:rStyle w:val="confirm"/>
          <w:rFonts w:ascii="Calibri" w:eastAsia="Times New Roman" w:hAnsi="Calibri" w:cs="Calibri"/>
          <w:color w:val="000000"/>
          <w:sz w:val="21"/>
          <w:szCs w:val="21"/>
          <w:highlight w:val="none"/>
        </w:rPr>
        <w:t>dbt</w:t>
      </w:r>
      <w:proofErr w:type="spellEnd"/>
      <w:r>
        <w:rPr>
          <w:rStyle w:val="confirm"/>
          <w:rFonts w:ascii="Calibri" w:eastAsia="Times New Roman" w:hAnsi="Calibri" w:cs="Calibri"/>
          <w:color w:val="000000"/>
          <w:sz w:val="21"/>
          <w:szCs w:val="21"/>
          <w:highlight w:val="none"/>
        </w:rPr>
        <w:t xml:space="preserve"> Fundamentals]</w:t>
      </w:r>
    </w:p>
    <w:p w14:paraId="4D4D7948" w14:textId="77777777" w:rsidR="00000000" w:rsidRDefault="00000000">
      <w:pPr>
        <w:pStyle w:val="Heading2"/>
        <w:rPr>
          <w:rFonts w:ascii="Calibri" w:eastAsia="Times New Roman" w:hAnsi="Calibri" w:cs="Calibri"/>
          <w:color w:val="000000"/>
        </w:rPr>
      </w:pPr>
      <w:r>
        <w:rPr>
          <w:rFonts w:ascii="Calibri" w:eastAsia="Times New Roman" w:hAnsi="Calibri" w:cs="Calibri"/>
          <w:color w:val="000000"/>
        </w:rPr>
        <w:t>Experience</w:t>
      </w:r>
    </w:p>
    <w:p w14:paraId="303296C0" w14:textId="77777777" w:rsidR="00000000" w:rsidRDefault="00000000">
      <w:pPr>
        <w:pStyle w:val="role"/>
        <w:rPr>
          <w:rFonts w:ascii="Calibri" w:hAnsi="Calibri" w:cs="Calibri"/>
          <w:color w:val="000000"/>
          <w:sz w:val="21"/>
          <w:szCs w:val="21"/>
        </w:rPr>
      </w:pPr>
      <w:r>
        <w:rPr>
          <w:rFonts w:ascii="Calibri" w:hAnsi="Calibri" w:cs="Calibri"/>
          <w:color w:val="000000"/>
          <w:sz w:val="21"/>
          <w:szCs w:val="21"/>
        </w:rPr>
        <w:t>Santander UK — Data Engineer, Cloud Data Platform &amp; Governance | Aug 2024 – Present</w:t>
      </w:r>
    </w:p>
    <w:p w14:paraId="1FCE0FA8" w14:textId="77777777" w:rsidR="00000000" w:rsidRDefault="00000000">
      <w:pPr>
        <w:pStyle w:val="context"/>
        <w:rPr>
          <w:rFonts w:ascii="Calibri" w:hAnsi="Calibri" w:cs="Calibri"/>
          <w:color w:val="000000"/>
          <w:sz w:val="21"/>
          <w:szCs w:val="21"/>
        </w:rPr>
      </w:pPr>
      <w:r>
        <w:rPr>
          <w:rFonts w:ascii="Calibri" w:hAnsi="Calibri" w:cs="Calibri"/>
          <w:color w:val="000000"/>
          <w:sz w:val="21"/>
          <w:szCs w:val="21"/>
        </w:rPr>
        <w:t>Platform team for a multi-account AWS data platform serving 300+ engineers across producer, analytics and exchange domains.</w:t>
      </w:r>
    </w:p>
    <w:p w14:paraId="3F3B5395" w14:textId="77777777" w:rsidR="00000000" w:rsidRDefault="00000000">
      <w:pPr>
        <w:numPr>
          <w:ilvl w:val="0"/>
          <w:numId w:val="2"/>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Federated governance and metadata management:</w:t>
      </w:r>
      <w:r>
        <w:rPr>
          <w:rFonts w:ascii="Calibri" w:eastAsia="Times New Roman" w:hAnsi="Calibri" w:cs="Calibri"/>
          <w:color w:val="000000"/>
          <w:sz w:val="21"/>
          <w:szCs w:val="21"/>
        </w:rPr>
        <w:t xml:space="preserve"> I designed and put into service tag-based access control using AWS Lake Formation, classifying data at database, table and column level for GDPR, PCI DSS and BCBS 239. Tags are defined once in a central governance account and deployed through CI/CD to the producer, analytics and exchange accounts. Every domain gets the same rules without anyone managing them by hand.</w:t>
      </w:r>
    </w:p>
    <w:p w14:paraId="620253C4" w14:textId="77777777" w:rsidR="00000000" w:rsidRDefault="00000000">
      <w:pPr>
        <w:numPr>
          <w:ilvl w:val="0"/>
          <w:numId w:val="2"/>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Root-cause analysis of a silent data-governance failure:</w:t>
      </w:r>
      <w:r>
        <w:rPr>
          <w:rFonts w:ascii="Calibri" w:eastAsia="Times New Roman" w:hAnsi="Calibri" w:cs="Calibri"/>
          <w:color w:val="000000"/>
          <w:sz w:val="21"/>
          <w:szCs w:val="21"/>
        </w:rPr>
        <w:t xml:space="preserve"> More than 1,500 tag validations were failing without raising any errors. Over six structured debugging cycles I traced the fault from DynamoDB through Lake Formation to the source code. I found a misconfigured metadata hierarchy and a case-sensitivity mismatch between Glue </w:t>
      </w:r>
      <w:proofErr w:type="spellStart"/>
      <w:r>
        <w:rPr>
          <w:rFonts w:ascii="Calibri" w:eastAsia="Times New Roman" w:hAnsi="Calibri" w:cs="Calibri"/>
          <w:color w:val="000000"/>
          <w:sz w:val="21"/>
          <w:szCs w:val="21"/>
        </w:rPr>
        <w:t>Catalog</w:t>
      </w:r>
      <w:proofErr w:type="spellEnd"/>
      <w:r>
        <w:rPr>
          <w:rFonts w:ascii="Calibri" w:eastAsia="Times New Roman" w:hAnsi="Calibri" w:cs="Calibri"/>
          <w:color w:val="000000"/>
          <w:sz w:val="21"/>
          <w:szCs w:val="21"/>
        </w:rPr>
        <w:t xml:space="preserve"> and Lake Formation that was skipping tags in production. I changed the framework so the failure can't happen again, restored enforcement, and briefed the team on this type of failure.</w:t>
      </w:r>
    </w:p>
    <w:p w14:paraId="0E5481D7" w14:textId="1202EFEE" w:rsidR="00000000" w:rsidRDefault="00000000">
      <w:pPr>
        <w:numPr>
          <w:ilvl w:val="0"/>
          <w:numId w:val="2"/>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API development, self-service data access:</w:t>
      </w:r>
      <w:r>
        <w:rPr>
          <w:rFonts w:ascii="Calibri" w:eastAsia="Times New Roman" w:hAnsi="Calibri" w:cs="Calibri"/>
          <w:color w:val="000000"/>
          <w:sz w:val="21"/>
          <w:szCs w:val="21"/>
        </w:rPr>
        <w:t xml:space="preserve"> Data access requests took about 2 hours, went through a 5-step manual process and left no audit trail. I built a Python </w:t>
      </w:r>
      <w:proofErr w:type="spellStart"/>
      <w:r>
        <w:rPr>
          <w:rFonts w:ascii="Calibri" w:eastAsia="Times New Roman" w:hAnsi="Calibri" w:cs="Calibri"/>
          <w:color w:val="000000"/>
          <w:sz w:val="21"/>
          <w:szCs w:val="21"/>
        </w:rPr>
        <w:t>FastAPI</w:t>
      </w:r>
      <w:proofErr w:type="spellEnd"/>
      <w:r>
        <w:rPr>
          <w:rFonts w:ascii="Calibri" w:eastAsia="Times New Roman" w:hAnsi="Calibri" w:cs="Calibri"/>
          <w:color w:val="000000"/>
          <w:sz w:val="21"/>
          <w:szCs w:val="21"/>
        </w:rPr>
        <w:t xml:space="preserve"> service that reads the Excel request files attached to Jira tickets, validates them and raises pull requests through CI/CD. Some colleagues were hesitant, so I ran a live end-to-end proof of concept and they accepted it. I now support the live service. Handling time fell to about 10 minutes, every change is auditable, and I was invited to present the tool to the wider engineering community. </w:t>
      </w:r>
      <w:r>
        <w:rPr>
          <w:rStyle w:val="confirm"/>
          <w:rFonts w:ascii="Calibri" w:eastAsia="Times New Roman" w:hAnsi="Calibri" w:cs="Calibri"/>
          <w:color w:val="000000"/>
          <w:sz w:val="21"/>
          <w:szCs w:val="21"/>
          <w:highlight w:val="none"/>
        </w:rPr>
        <w:t xml:space="preserve">[e.g. </w:t>
      </w:r>
      <w:proofErr w:type="spellStart"/>
      <w:r>
        <w:rPr>
          <w:rStyle w:val="confirm"/>
          <w:rFonts w:ascii="Calibri" w:eastAsia="Times New Roman" w:hAnsi="Calibri" w:cs="Calibri"/>
          <w:color w:val="000000"/>
          <w:sz w:val="21"/>
          <w:szCs w:val="21"/>
          <w:highlight w:val="none"/>
        </w:rPr>
        <w:t>pytest</w:t>
      </w:r>
      <w:proofErr w:type="spellEnd"/>
      <w:r>
        <w:rPr>
          <w:rStyle w:val="confirm"/>
          <w:rFonts w:ascii="Calibri" w:eastAsia="Times New Roman" w:hAnsi="Calibri" w:cs="Calibri"/>
          <w:color w:val="000000"/>
          <w:sz w:val="21"/>
          <w:szCs w:val="21"/>
          <w:highlight w:val="none"/>
        </w:rPr>
        <w:t xml:space="preserve"> on endpoints, validating the request files]</w:t>
      </w:r>
    </w:p>
    <w:p w14:paraId="5B05BD57" w14:textId="3DE0A4F9" w:rsidR="00000000" w:rsidRDefault="00000000">
      <w:pPr>
        <w:numPr>
          <w:ilvl w:val="0"/>
          <w:numId w:val="2"/>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lastRenderedPageBreak/>
        <w:t>Automated monitoring of 100+ EMR clusters:</w:t>
      </w:r>
      <w:r>
        <w:rPr>
          <w:rFonts w:ascii="Calibri" w:eastAsia="Times New Roman" w:hAnsi="Calibri" w:cs="Calibri"/>
          <w:color w:val="000000"/>
          <w:sz w:val="21"/>
          <w:szCs w:val="21"/>
        </w:rPr>
        <w:t xml:space="preserve"> Checking the cluster fleet by hand took a platform engineer 4–5 hours a week. I built a compliance agent that pulls cluster data from a custom CloudWatch namespace over a rolling 7-day window and checks each cluster against the AWS EMR support lifecycle. It works out which of 20+ engineering teams owns each cluster from the naming convention, then raises a Jira ticket containing the exact Terraform change needed. The audit is now a 5-minute weekly report. It found 9 clusters already past end of support and 55 nearing it. I also enforced the 15-minute idle-timeout standard, which cut spending on idle clusters.</w:t>
      </w:r>
    </w:p>
    <w:p w14:paraId="063DA134" w14:textId="77777777" w:rsidR="00000000" w:rsidRDefault="00000000">
      <w:pPr>
        <w:numPr>
          <w:ilvl w:val="0"/>
          <w:numId w:val="2"/>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Technical lead, migrating 64 production clusters across 15 teams:</w:t>
      </w:r>
      <w:r>
        <w:rPr>
          <w:rFonts w:ascii="Calibri" w:eastAsia="Times New Roman" w:hAnsi="Calibri" w:cs="Calibri"/>
          <w:color w:val="000000"/>
          <w:sz w:val="21"/>
          <w:szCs w:val="21"/>
        </w:rPr>
        <w:t xml:space="preserve"> As technical lead, I moved 64 clusters onto EMR 7.12 across 11 business repositories, inside a 3-week phased window. I planned the order of work and the dependencies, including: </w:t>
      </w:r>
    </w:p>
    <w:p w14:paraId="055DFF44" w14:textId="77777777" w:rsidR="00000000" w:rsidRDefault="00000000">
      <w:pPr>
        <w:numPr>
          <w:ilvl w:val="1"/>
          <w:numId w:val="2"/>
        </w:numPr>
        <w:spacing w:after="60"/>
        <w:rPr>
          <w:rFonts w:ascii="Calibri" w:eastAsia="Times New Roman" w:hAnsi="Calibri" w:cs="Calibri"/>
          <w:color w:val="000000"/>
          <w:sz w:val="21"/>
          <w:szCs w:val="21"/>
        </w:rPr>
      </w:pPr>
      <w:r>
        <w:rPr>
          <w:rFonts w:ascii="Calibri" w:eastAsia="Times New Roman" w:hAnsi="Calibri" w:cs="Calibri"/>
          <w:color w:val="000000"/>
          <w:sz w:val="21"/>
          <w:szCs w:val="21"/>
        </w:rPr>
        <w:t>S3 storage</w:t>
      </w:r>
    </w:p>
    <w:p w14:paraId="02169019" w14:textId="77777777" w:rsidR="00000000" w:rsidRDefault="00000000">
      <w:pPr>
        <w:numPr>
          <w:ilvl w:val="1"/>
          <w:numId w:val="2"/>
        </w:numPr>
        <w:spacing w:after="60"/>
        <w:rPr>
          <w:rFonts w:ascii="Calibri" w:eastAsia="Times New Roman" w:hAnsi="Calibri" w:cs="Calibri"/>
          <w:color w:val="000000"/>
          <w:sz w:val="21"/>
          <w:szCs w:val="21"/>
        </w:rPr>
      </w:pPr>
      <w:r>
        <w:rPr>
          <w:rFonts w:ascii="Calibri" w:eastAsia="Times New Roman" w:hAnsi="Calibri" w:cs="Calibri"/>
          <w:color w:val="000000"/>
          <w:sz w:val="21"/>
          <w:szCs w:val="21"/>
        </w:rPr>
        <w:t>metadata continuity</w:t>
      </w:r>
    </w:p>
    <w:p w14:paraId="36A2D1FE" w14:textId="77777777" w:rsidR="00000000" w:rsidRDefault="00000000">
      <w:pPr>
        <w:numPr>
          <w:ilvl w:val="1"/>
          <w:numId w:val="2"/>
        </w:numPr>
        <w:spacing w:after="60"/>
        <w:rPr>
          <w:rFonts w:ascii="Calibri" w:eastAsia="Times New Roman" w:hAnsi="Calibri" w:cs="Calibri"/>
          <w:color w:val="000000"/>
          <w:sz w:val="21"/>
          <w:szCs w:val="21"/>
        </w:rPr>
      </w:pPr>
      <w:r>
        <w:rPr>
          <w:rFonts w:ascii="Calibri" w:eastAsia="Times New Roman" w:hAnsi="Calibri" w:cs="Calibri"/>
          <w:color w:val="000000"/>
          <w:sz w:val="21"/>
          <w:szCs w:val="21"/>
        </w:rPr>
        <w:t>moving Lake Formation access from EC2 roles to FTA runtime roles</w:t>
      </w:r>
    </w:p>
    <w:p w14:paraId="1F5EDEFC" w14:textId="77777777" w:rsidR="00000000" w:rsidRDefault="00000000">
      <w:pPr>
        <w:ind w:left="720"/>
        <w:rPr>
          <w:rFonts w:ascii="Calibri" w:eastAsia="Times New Roman" w:hAnsi="Calibri" w:cs="Calibri"/>
          <w:color w:val="000000"/>
          <w:sz w:val="21"/>
          <w:szCs w:val="21"/>
        </w:rPr>
      </w:pPr>
      <w:r>
        <w:rPr>
          <w:rFonts w:ascii="Calibri" w:eastAsia="Times New Roman" w:hAnsi="Calibri" w:cs="Calibri"/>
          <w:color w:val="000000"/>
          <w:sz w:val="21"/>
          <w:szCs w:val="21"/>
        </w:rPr>
        <w:t xml:space="preserve">I wrote the team communications and step-by-step Terraform guides. When some teams pushed back on the timescale, I didn't force the change. </w:t>
      </w:r>
      <w:proofErr w:type="gramStart"/>
      <w:r>
        <w:rPr>
          <w:rFonts w:ascii="Calibri" w:eastAsia="Times New Roman" w:hAnsi="Calibri" w:cs="Calibri"/>
          <w:color w:val="000000"/>
          <w:sz w:val="21"/>
          <w:szCs w:val="21"/>
        </w:rPr>
        <w:t>Instead</w:t>
      </w:r>
      <w:proofErr w:type="gramEnd"/>
      <w:r>
        <w:rPr>
          <w:rFonts w:ascii="Calibri" w:eastAsia="Times New Roman" w:hAnsi="Calibri" w:cs="Calibri"/>
          <w:color w:val="000000"/>
          <w:sz w:val="21"/>
          <w:szCs w:val="21"/>
        </w:rPr>
        <w:t xml:space="preserve"> I set up a Jira exception route: teams gave a business justification, and anything unanswered after 5 days was escalated. That kept relationships constructive and still protected the platform.</w:t>
      </w:r>
    </w:p>
    <w:p w14:paraId="159D2EA2" w14:textId="77777777" w:rsidR="00000000" w:rsidRDefault="00000000">
      <w:pPr>
        <w:numPr>
          <w:ilvl w:val="0"/>
          <w:numId w:val="2"/>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Pipeline optimisation for regulatory reporting data:</w:t>
      </w:r>
      <w:r>
        <w:rPr>
          <w:rFonts w:ascii="Calibri" w:eastAsia="Times New Roman" w:hAnsi="Calibri" w:cs="Calibri"/>
          <w:color w:val="000000"/>
          <w:sz w:val="21"/>
          <w:szCs w:val="21"/>
        </w:rPr>
        <w:t xml:space="preserve"> A Glue job scanning 2,405 partitions of regulatory reporting data kept failing because of S3 503 throttling. I diagnosed the cause and weighed the options, then designed a fix in several layers: </w:t>
      </w:r>
    </w:p>
    <w:p w14:paraId="4A12C276" w14:textId="77777777" w:rsidR="00000000" w:rsidRDefault="00000000">
      <w:pPr>
        <w:numPr>
          <w:ilvl w:val="1"/>
          <w:numId w:val="2"/>
        </w:numPr>
        <w:spacing w:after="60"/>
        <w:rPr>
          <w:rFonts w:ascii="Calibri" w:eastAsia="Times New Roman" w:hAnsi="Calibri" w:cs="Calibri"/>
          <w:color w:val="000000"/>
          <w:sz w:val="21"/>
          <w:szCs w:val="21"/>
        </w:rPr>
      </w:pPr>
      <w:r>
        <w:rPr>
          <w:rFonts w:ascii="Calibri" w:eastAsia="Times New Roman" w:hAnsi="Calibri" w:cs="Calibri"/>
          <w:color w:val="000000"/>
          <w:sz w:val="21"/>
          <w:szCs w:val="21"/>
        </w:rPr>
        <w:t xml:space="preserve">chunked reads using </w:t>
      </w:r>
      <w:proofErr w:type="spellStart"/>
      <w:r>
        <w:rPr>
          <w:rFonts w:ascii="Calibri" w:eastAsia="Times New Roman" w:hAnsi="Calibri" w:cs="Calibri"/>
          <w:color w:val="000000"/>
          <w:sz w:val="21"/>
          <w:szCs w:val="21"/>
        </w:rPr>
        <w:t>push_down_predicate</w:t>
      </w:r>
      <w:proofErr w:type="spellEnd"/>
    </w:p>
    <w:p w14:paraId="4CBAF8E4" w14:textId="77777777" w:rsidR="00000000" w:rsidRDefault="00000000">
      <w:pPr>
        <w:numPr>
          <w:ilvl w:val="1"/>
          <w:numId w:val="2"/>
        </w:numPr>
        <w:spacing w:after="60"/>
        <w:rPr>
          <w:rFonts w:ascii="Calibri" w:eastAsia="Times New Roman" w:hAnsi="Calibri" w:cs="Calibri"/>
          <w:color w:val="000000"/>
          <w:sz w:val="21"/>
          <w:szCs w:val="21"/>
        </w:rPr>
      </w:pPr>
      <w:r>
        <w:rPr>
          <w:rFonts w:ascii="Calibri" w:eastAsia="Times New Roman" w:hAnsi="Calibri" w:cs="Calibri"/>
          <w:color w:val="000000"/>
          <w:sz w:val="21"/>
          <w:szCs w:val="21"/>
        </w:rPr>
        <w:t>tuned retry and backoff</w:t>
      </w:r>
    </w:p>
    <w:p w14:paraId="3BEB1C5E" w14:textId="77777777" w:rsidR="00000000" w:rsidRDefault="00000000">
      <w:pPr>
        <w:numPr>
          <w:ilvl w:val="1"/>
          <w:numId w:val="2"/>
        </w:numPr>
        <w:spacing w:after="60"/>
        <w:rPr>
          <w:rFonts w:ascii="Calibri" w:eastAsia="Times New Roman" w:hAnsi="Calibri" w:cs="Calibri"/>
          <w:color w:val="000000"/>
          <w:sz w:val="21"/>
          <w:szCs w:val="21"/>
        </w:rPr>
      </w:pPr>
      <w:r>
        <w:rPr>
          <w:rFonts w:ascii="Calibri" w:eastAsia="Times New Roman" w:hAnsi="Calibri" w:cs="Calibri"/>
          <w:color w:val="000000"/>
          <w:sz w:val="21"/>
          <w:szCs w:val="21"/>
        </w:rPr>
        <w:t>reduced parallelism</w:t>
      </w:r>
    </w:p>
    <w:p w14:paraId="45AC1E4F" w14:textId="77777777" w:rsidR="00000000" w:rsidRDefault="00000000">
      <w:pPr>
        <w:numPr>
          <w:ilvl w:val="1"/>
          <w:numId w:val="2"/>
        </w:numPr>
        <w:spacing w:after="60"/>
        <w:rPr>
          <w:rFonts w:ascii="Calibri" w:eastAsia="Times New Roman" w:hAnsi="Calibri" w:cs="Calibri"/>
          <w:color w:val="000000"/>
          <w:sz w:val="21"/>
          <w:szCs w:val="21"/>
        </w:rPr>
      </w:pPr>
      <w:r>
        <w:rPr>
          <w:rFonts w:ascii="Calibri" w:eastAsia="Times New Roman" w:hAnsi="Calibri" w:cs="Calibri"/>
          <w:color w:val="000000"/>
          <w:sz w:val="21"/>
          <w:szCs w:val="21"/>
        </w:rPr>
        <w:t>compaction of historical partitions (my recommendation)</w:t>
      </w:r>
    </w:p>
    <w:p w14:paraId="7713A692" w14:textId="77777777" w:rsidR="00000000" w:rsidRDefault="00000000">
      <w:pPr>
        <w:ind w:left="720"/>
        <w:rPr>
          <w:rFonts w:ascii="Calibri" w:eastAsia="Times New Roman" w:hAnsi="Calibri" w:cs="Calibri"/>
          <w:color w:val="000000"/>
          <w:sz w:val="21"/>
          <w:szCs w:val="21"/>
        </w:rPr>
      </w:pPr>
      <w:r>
        <w:rPr>
          <w:rFonts w:ascii="Calibri" w:eastAsia="Times New Roman" w:hAnsi="Calibri" w:cs="Calibri"/>
          <w:color w:val="000000"/>
          <w:sz w:val="21"/>
          <w:szCs w:val="21"/>
        </w:rPr>
        <w:t>The pipeline now delivers regulatory data reliably.</w:t>
      </w:r>
    </w:p>
    <w:p w14:paraId="47EA2221" w14:textId="77777777" w:rsidR="00000000" w:rsidRDefault="00000000">
      <w:pPr>
        <w:numPr>
          <w:ilvl w:val="0"/>
          <w:numId w:val="2"/>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Testing and safe deployment:</w:t>
      </w:r>
      <w:r>
        <w:rPr>
          <w:rFonts w:ascii="Calibri" w:eastAsia="Times New Roman" w:hAnsi="Calibri" w:cs="Calibri"/>
          <w:color w:val="000000"/>
          <w:sz w:val="21"/>
          <w:szCs w:val="21"/>
        </w:rPr>
        <w:t xml:space="preserve"> I designed and built an event-driven fix (Python Lambda, </w:t>
      </w:r>
      <w:proofErr w:type="spellStart"/>
      <w:r>
        <w:rPr>
          <w:rFonts w:ascii="Calibri" w:eastAsia="Times New Roman" w:hAnsi="Calibri" w:cs="Calibri"/>
          <w:color w:val="000000"/>
          <w:sz w:val="21"/>
          <w:szCs w:val="21"/>
        </w:rPr>
        <w:t>EventBridge</w:t>
      </w:r>
      <w:proofErr w:type="spellEnd"/>
      <w:r>
        <w:rPr>
          <w:rFonts w:ascii="Calibri" w:eastAsia="Times New Roman" w:hAnsi="Calibri" w:cs="Calibri"/>
          <w:color w:val="000000"/>
          <w:sz w:val="21"/>
          <w:szCs w:val="21"/>
        </w:rPr>
        <w:t xml:space="preserve">, SNS) that detects and repairs Terraform state digest mismatches automatically, so engineers no longer need access to the production console. I wrote </w:t>
      </w:r>
      <w:proofErr w:type="gramStart"/>
      <w:r>
        <w:rPr>
          <w:rFonts w:ascii="Calibri" w:eastAsia="Times New Roman" w:hAnsi="Calibri" w:cs="Calibri"/>
          <w:color w:val="000000"/>
          <w:sz w:val="21"/>
          <w:szCs w:val="21"/>
        </w:rPr>
        <w:t>14 unit</w:t>
      </w:r>
      <w:proofErr w:type="gramEnd"/>
      <w:r>
        <w:rPr>
          <w:rFonts w:ascii="Calibri" w:eastAsia="Times New Roman" w:hAnsi="Calibri" w:cs="Calibri"/>
          <w:color w:val="000000"/>
          <w:sz w:val="21"/>
          <w:szCs w:val="21"/>
        </w:rPr>
        <w:t xml:space="preserve"> tests (</w:t>
      </w:r>
      <w:proofErr w:type="spellStart"/>
      <w:r>
        <w:rPr>
          <w:rFonts w:ascii="Calibri" w:eastAsia="Times New Roman" w:hAnsi="Calibri" w:cs="Calibri"/>
          <w:color w:val="000000"/>
          <w:sz w:val="21"/>
          <w:szCs w:val="21"/>
        </w:rPr>
        <w:t>pytest</w:t>
      </w:r>
      <w:proofErr w:type="spellEnd"/>
      <w:r>
        <w:rPr>
          <w:rFonts w:ascii="Calibri" w:eastAsia="Times New Roman" w:hAnsi="Calibri" w:cs="Calibri"/>
          <w:color w:val="000000"/>
          <w:sz w:val="21"/>
          <w:szCs w:val="21"/>
        </w:rPr>
        <w:t>/moto) and released it in stages: a dry run in DEV, then PRE, then a 2-week dry run in PROD before the team approved switching it on.</w:t>
      </w:r>
    </w:p>
    <w:p w14:paraId="7C2C25D3" w14:textId="77777777" w:rsidR="00000000" w:rsidRDefault="00000000">
      <w:pPr>
        <w:numPr>
          <w:ilvl w:val="0"/>
          <w:numId w:val="2"/>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CI/CD reliability:</w:t>
      </w:r>
      <w:r>
        <w:rPr>
          <w:rFonts w:ascii="Calibri" w:eastAsia="Times New Roman" w:hAnsi="Calibri" w:cs="Calibri"/>
          <w:color w:val="000000"/>
          <w:sz w:val="21"/>
          <w:szCs w:val="21"/>
        </w:rPr>
        <w:t xml:space="preserve"> Terraform deployments were failing across DEV, PRE and PROD. I traced the cause to a version downgrade in a chain of reusable GitHub Actions workflows, fixed the state corruption caused by concurrent runs, and wrote resolution guides so other teams could fix similar problems themselves.</w:t>
      </w:r>
    </w:p>
    <w:p w14:paraId="44B407B0" w14:textId="77777777" w:rsidR="00000000" w:rsidRDefault="00000000">
      <w:pPr>
        <w:numPr>
          <w:ilvl w:val="0"/>
          <w:numId w:val="2"/>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Domain onboarding:</w:t>
      </w:r>
      <w:r>
        <w:rPr>
          <w:rFonts w:ascii="Calibri" w:eastAsia="Times New Roman" w:hAnsi="Calibri" w:cs="Calibri"/>
          <w:color w:val="000000"/>
          <w:sz w:val="21"/>
          <w:szCs w:val="21"/>
        </w:rPr>
        <w:t xml:space="preserve"> I built end-to-end onboarding for consumer, producer, archival and data science teams. It covers mapping IAM roles, setting up repositories, granting Lake Formation permissions and provisioning SageMaker domains.</w:t>
      </w:r>
    </w:p>
    <w:p w14:paraId="4997C47A" w14:textId="15C5D46F" w:rsidR="00000000" w:rsidRDefault="00000000">
      <w:pPr>
        <w:numPr>
          <w:ilvl w:val="0"/>
          <w:numId w:val="2"/>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Advising on architecture:</w:t>
      </w:r>
      <w:r>
        <w:rPr>
          <w:rFonts w:ascii="Calibri" w:eastAsia="Times New Roman" w:hAnsi="Calibri" w:cs="Calibri"/>
          <w:color w:val="000000"/>
          <w:sz w:val="21"/>
          <w:szCs w:val="21"/>
        </w:rPr>
        <w:t xml:space="preserve"> I reviewed the multi-account architecture with the Cloud, Platform, Data Engineering, Security and Enterprise Architecture teams and found services that no longer met the bank's approved standards. I then redesigned the ingestion, processing, storage, consumption and cross-account permission layers using approved services only. </w:t>
      </w:r>
      <w:r>
        <w:rPr>
          <w:rStyle w:val="confirm"/>
          <w:rFonts w:ascii="Calibri" w:eastAsia="Times New Roman" w:hAnsi="Calibri" w:cs="Calibri"/>
          <w:color w:val="000000"/>
          <w:sz w:val="21"/>
          <w:szCs w:val="21"/>
          <w:highlight w:val="none"/>
        </w:rPr>
        <w:t>[approved by governance, cost figure]</w:t>
      </w:r>
    </w:p>
    <w:p w14:paraId="5E59587B" w14:textId="77777777" w:rsidR="00000000" w:rsidRDefault="00000000">
      <w:pPr>
        <w:numPr>
          <w:ilvl w:val="0"/>
          <w:numId w:val="2"/>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Teamwork and mentoring:</w:t>
      </w:r>
      <w:r>
        <w:rPr>
          <w:rFonts w:ascii="Calibri" w:eastAsia="Times New Roman" w:hAnsi="Calibri" w:cs="Calibri"/>
          <w:color w:val="000000"/>
          <w:sz w:val="21"/>
          <w:szCs w:val="21"/>
        </w:rPr>
        <w:t xml:space="preserve"> I mentor five engineering and analytics colleagues in regular one-to-ones, reviewing their work and helping them through delivery problems. A stakeholder once challenged my mentee for rejecting a request that didn't meet mandatory governance requirements. I set up a meeting, listened to their concerns and presented the evidence. We agreed a compliant way forward, and my colleague's decision stood. I also coach teams on using Amazon Bedrock (EMR Advisor) safely.</w:t>
      </w:r>
    </w:p>
    <w:p w14:paraId="24A4508F" w14:textId="77777777" w:rsidR="00000000" w:rsidRDefault="00000000">
      <w:pPr>
        <w:pStyle w:val="role"/>
        <w:rPr>
          <w:rFonts w:ascii="Calibri" w:hAnsi="Calibri" w:cs="Calibri"/>
          <w:color w:val="000000"/>
          <w:sz w:val="21"/>
          <w:szCs w:val="21"/>
        </w:rPr>
      </w:pPr>
      <w:r>
        <w:rPr>
          <w:rFonts w:ascii="Calibri" w:hAnsi="Calibri" w:cs="Calibri"/>
          <w:color w:val="000000"/>
          <w:sz w:val="21"/>
          <w:szCs w:val="21"/>
        </w:rPr>
        <w:t>Santander UK — Data Solution Analyst | Feb 2023 – Aug 2024</w:t>
      </w:r>
    </w:p>
    <w:p w14:paraId="4EB34AAD" w14:textId="77777777" w:rsidR="00000000" w:rsidRDefault="00000000">
      <w:pPr>
        <w:numPr>
          <w:ilvl w:val="0"/>
          <w:numId w:val="3"/>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Architecture and data model change for about 80 use cases:</w:t>
      </w:r>
      <w:r>
        <w:rPr>
          <w:rFonts w:ascii="Calibri" w:eastAsia="Times New Roman" w:hAnsi="Calibri" w:cs="Calibri"/>
          <w:color w:val="000000"/>
          <w:sz w:val="21"/>
          <w:szCs w:val="21"/>
        </w:rPr>
        <w:t xml:space="preserve"> I led the architecture design for moving from CDSW to SageMaker and from </w:t>
      </w:r>
      <w:proofErr w:type="spellStart"/>
      <w:r>
        <w:rPr>
          <w:rFonts w:ascii="Calibri" w:eastAsia="Times New Roman" w:hAnsi="Calibri" w:cs="Calibri"/>
          <w:color w:val="000000"/>
          <w:sz w:val="21"/>
          <w:szCs w:val="21"/>
        </w:rPr>
        <w:t>Plotly</w:t>
      </w:r>
      <w:proofErr w:type="spellEnd"/>
      <w:r>
        <w:rPr>
          <w:rFonts w:ascii="Calibri" w:eastAsia="Times New Roman" w:hAnsi="Calibri" w:cs="Calibri"/>
          <w:color w:val="000000"/>
          <w:sz w:val="21"/>
          <w:szCs w:val="21"/>
        </w:rPr>
        <w:t xml:space="preserve"> to Power BI. I ran seven workshops with Finance, Data Science and Risk, grouped users into four personas (data scientists, data engineers, application developers, operational users), and mapped the data end to end: sources, ingestion, transformation, cleansing and quality controls, warehouse integration and consumption. I worked the design through with the Data, Solution, Technical and Security Architecture teams, then presented it to architecture governance, which approved it.</w:t>
      </w:r>
    </w:p>
    <w:p w14:paraId="4F44A8B0" w14:textId="77777777" w:rsidR="00000000" w:rsidRDefault="00000000">
      <w:pPr>
        <w:numPr>
          <w:ilvl w:val="0"/>
          <w:numId w:val="3"/>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Evidence-based migration decisions:</w:t>
      </w:r>
      <w:r>
        <w:rPr>
          <w:rFonts w:ascii="Calibri" w:eastAsia="Times New Roman" w:hAnsi="Calibri" w:cs="Calibri"/>
          <w:color w:val="000000"/>
          <w:sz w:val="21"/>
          <w:szCs w:val="21"/>
        </w:rPr>
        <w:t xml:space="preserve"> Many data owners weren't technical. I built a decision-tree framework and ran proof-of-concept demos using their own outputs, so each owner could approve a full, partial or </w:t>
      </w:r>
      <w:r>
        <w:rPr>
          <w:rFonts w:ascii="Calibri" w:eastAsia="Times New Roman" w:hAnsi="Calibri" w:cs="Calibri"/>
          <w:color w:val="000000"/>
          <w:sz w:val="21"/>
          <w:szCs w:val="21"/>
        </w:rPr>
        <w:lastRenderedPageBreak/>
        <w:t>phased migration with confidence and an auditable record. I tracked the work in Jira, prioritised by risk and deadline, and kept day-to-day support running alongside it.</w:t>
      </w:r>
    </w:p>
    <w:p w14:paraId="1808399D" w14:textId="77777777" w:rsidR="00000000" w:rsidRDefault="00000000">
      <w:pPr>
        <w:numPr>
          <w:ilvl w:val="0"/>
          <w:numId w:val="3"/>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Power BI semantic models (DAX, Power Query):</w:t>
      </w:r>
      <w:r>
        <w:rPr>
          <w:rFonts w:ascii="Calibri" w:eastAsia="Times New Roman" w:hAnsi="Calibri" w:cs="Calibri"/>
          <w:color w:val="000000"/>
          <w:sz w:val="21"/>
          <w:szCs w:val="21"/>
        </w:rPr>
        <w:t xml:space="preserve"> I built Power BI semantic models on star schemas. I shaped the data in Power Query (M) and wrote DAX measures matched to the approved business definitions, so the same measure gave the same answer in every report. I sped up refreshes with incremental loading. During UAT I checked report figures against the source before the </w:t>
      </w:r>
      <w:proofErr w:type="spellStart"/>
      <w:r>
        <w:rPr>
          <w:rFonts w:ascii="Calibri" w:eastAsia="Times New Roman" w:hAnsi="Calibri" w:cs="Calibri"/>
          <w:color w:val="000000"/>
          <w:sz w:val="21"/>
          <w:szCs w:val="21"/>
        </w:rPr>
        <w:t>Plotly</w:t>
      </w:r>
      <w:proofErr w:type="spellEnd"/>
      <w:r>
        <w:rPr>
          <w:rFonts w:ascii="Calibri" w:eastAsia="Times New Roman" w:hAnsi="Calibri" w:cs="Calibri"/>
          <w:color w:val="000000"/>
          <w:sz w:val="21"/>
          <w:szCs w:val="21"/>
        </w:rPr>
        <w:t xml:space="preserve"> and CDSW versions were retired.</w:t>
      </w:r>
    </w:p>
    <w:p w14:paraId="0E96EF11" w14:textId="77777777" w:rsidR="00000000" w:rsidRDefault="00000000">
      <w:pPr>
        <w:numPr>
          <w:ilvl w:val="0"/>
          <w:numId w:val="3"/>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Data quality rules under time pressure:</w:t>
      </w:r>
      <w:r>
        <w:rPr>
          <w:rFonts w:ascii="Calibri" w:eastAsia="Times New Roman" w:hAnsi="Calibri" w:cs="Calibri"/>
          <w:color w:val="000000"/>
          <w:sz w:val="21"/>
          <w:szCs w:val="21"/>
        </w:rPr>
        <w:t xml:space="preserve"> Testing showed mismatched customer records that would have reached payment reporting. I didn't just patch the report. I traced the fault back to how records were being matched, and wrote a Python script that checks identifiers, data types and record consistency. I held the data back until it passed. I then made reconciliation a condition of sign-off for every use case. I also profiled source data in Informatica Data Quality.</w:t>
      </w:r>
    </w:p>
    <w:p w14:paraId="4F5E0709" w14:textId="77777777" w:rsidR="00000000" w:rsidRDefault="00000000">
      <w:pPr>
        <w:numPr>
          <w:ilvl w:val="0"/>
          <w:numId w:val="3"/>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Leadership dashboard:</w:t>
      </w:r>
      <w:r>
        <w:rPr>
          <w:rFonts w:ascii="Calibri" w:eastAsia="Times New Roman" w:hAnsi="Calibri" w:cs="Calibri"/>
          <w:color w:val="000000"/>
          <w:sz w:val="21"/>
          <w:szCs w:val="21"/>
        </w:rPr>
        <w:t xml:space="preserve"> Leaders kept asking the same three questions: how many use cases were ready, what was blocking the rest, and which tables were still outstanding. I designed a one-page Power BI dashboard around those questions, showing progress, dependencies and status for each table. Leaders could see where things stood </w:t>
      </w:r>
      <w:proofErr w:type="gramStart"/>
      <w:r>
        <w:rPr>
          <w:rFonts w:ascii="Calibri" w:eastAsia="Times New Roman" w:hAnsi="Calibri" w:cs="Calibri"/>
          <w:color w:val="000000"/>
          <w:sz w:val="21"/>
          <w:szCs w:val="21"/>
        </w:rPr>
        <w:t>at a glance</w:t>
      </w:r>
      <w:proofErr w:type="gramEnd"/>
      <w:r>
        <w:rPr>
          <w:rFonts w:ascii="Calibri" w:eastAsia="Times New Roman" w:hAnsi="Calibri" w:cs="Calibri"/>
          <w:color w:val="000000"/>
          <w:sz w:val="21"/>
          <w:szCs w:val="21"/>
        </w:rPr>
        <w:t>, and I spent far less time answering status questions.</w:t>
      </w:r>
    </w:p>
    <w:p w14:paraId="6540D662" w14:textId="77777777" w:rsidR="00000000" w:rsidRDefault="00000000">
      <w:pPr>
        <w:numPr>
          <w:ilvl w:val="0"/>
          <w:numId w:val="3"/>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Pipeline delivery:</w:t>
      </w:r>
      <w:r>
        <w:rPr>
          <w:rFonts w:ascii="Calibri" w:eastAsia="Times New Roman" w:hAnsi="Calibri" w:cs="Calibri"/>
          <w:color w:val="000000"/>
          <w:sz w:val="21"/>
          <w:szCs w:val="21"/>
        </w:rPr>
        <w:t xml:space="preserve"> I worked with the ingestion teams to move source tables into AWS (S3, Glue) for each migration wave.</w:t>
      </w:r>
    </w:p>
    <w:p w14:paraId="036D5FF2" w14:textId="77777777" w:rsidR="00000000" w:rsidRDefault="00000000">
      <w:pPr>
        <w:pStyle w:val="role"/>
        <w:rPr>
          <w:rFonts w:ascii="Calibri" w:hAnsi="Calibri" w:cs="Calibri"/>
          <w:color w:val="000000"/>
          <w:sz w:val="21"/>
          <w:szCs w:val="21"/>
        </w:rPr>
      </w:pPr>
      <w:r>
        <w:rPr>
          <w:rFonts w:ascii="Calibri" w:hAnsi="Calibri" w:cs="Calibri"/>
          <w:color w:val="000000"/>
          <w:sz w:val="21"/>
          <w:szCs w:val="21"/>
        </w:rPr>
        <w:t>Santander UK — Data Analyst, Financial Crime Analytics | Feb 2022 – Feb 2023</w:t>
      </w:r>
    </w:p>
    <w:p w14:paraId="16068170" w14:textId="77777777" w:rsidR="00000000" w:rsidRDefault="00000000">
      <w:pPr>
        <w:numPr>
          <w:ilvl w:val="0"/>
          <w:numId w:val="4"/>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Data mining on sensitive data:</w:t>
      </w:r>
      <w:r>
        <w:rPr>
          <w:rFonts w:ascii="Calibri" w:eastAsia="Times New Roman" w:hAnsi="Calibri" w:cs="Calibri"/>
          <w:color w:val="000000"/>
          <w:sz w:val="21"/>
          <w:szCs w:val="21"/>
        </w:rPr>
        <w:t xml:space="preserve"> I built a framework that links customer identities to Suspicious Activity Report (SAR) narratives, helping uncover people hiding criminal proceeds. Because the data was so sensitive, I paid close attention to accuracy, completeness and traceability.</w:t>
      </w:r>
    </w:p>
    <w:p w14:paraId="12A053D9" w14:textId="77777777" w:rsidR="00000000" w:rsidRDefault="00000000">
      <w:pPr>
        <w:numPr>
          <w:ilvl w:val="0"/>
          <w:numId w:val="4"/>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Screening large datasets:</w:t>
      </w:r>
      <w:r>
        <w:rPr>
          <w:rFonts w:ascii="Calibri" w:eastAsia="Times New Roman" w:hAnsi="Calibri" w:cs="Calibri"/>
          <w:color w:val="000000"/>
          <w:sz w:val="21"/>
          <w:szCs w:val="21"/>
        </w:rPr>
        <w:t xml:space="preserve"> I used procedural SQL in SAS to screen customers for unusual cash deposits, inflows and international transactions. I recommended monitoring improvements using SQL triggers.</w:t>
      </w:r>
    </w:p>
    <w:p w14:paraId="2BBD5B1D" w14:textId="77777777" w:rsidR="00000000" w:rsidRDefault="00000000">
      <w:pPr>
        <w:numPr>
          <w:ilvl w:val="0"/>
          <w:numId w:val="4"/>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Dimensional modelling for customer segmentation:</w:t>
      </w:r>
      <w:r>
        <w:rPr>
          <w:rFonts w:ascii="Calibri" w:eastAsia="Times New Roman" w:hAnsi="Calibri" w:cs="Calibri"/>
          <w:color w:val="000000"/>
          <w:sz w:val="21"/>
          <w:szCs w:val="21"/>
        </w:rPr>
        <w:t xml:space="preserve"> I joined customer, transaction and digital-interaction data with SQL, modelled it in fact and dimension tables, and segmented customers by location, inflows, outflows and digital behaviour. The findings, presented in Power BI, showed which customers were at risk of leaving and where to target engagement.</w:t>
      </w:r>
    </w:p>
    <w:p w14:paraId="1A5D329E" w14:textId="77777777" w:rsidR="00000000" w:rsidRDefault="00000000">
      <w:pPr>
        <w:numPr>
          <w:ilvl w:val="0"/>
          <w:numId w:val="4"/>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Analysis and remediation support:</w:t>
      </w:r>
      <w:r>
        <w:rPr>
          <w:rFonts w:ascii="Calibri" w:eastAsia="Times New Roman" w:hAnsi="Calibri" w:cs="Calibri"/>
          <w:color w:val="000000"/>
          <w:sz w:val="21"/>
          <w:szCs w:val="21"/>
        </w:rPr>
        <w:t xml:space="preserve"> I ran cohort and variance analysis in SAS across savings, mortgage and current-account data. I supplied the data for remediating high-risk non-personal customer populations, using SQL and CTEs to extract occupation, risk level and location for high-net-worth customers.</w:t>
      </w:r>
    </w:p>
    <w:p w14:paraId="046B8B07" w14:textId="77777777" w:rsidR="00000000" w:rsidRDefault="00000000">
      <w:pPr>
        <w:pStyle w:val="role"/>
        <w:rPr>
          <w:rFonts w:ascii="Calibri" w:hAnsi="Calibri" w:cs="Calibri"/>
          <w:color w:val="000000"/>
          <w:sz w:val="21"/>
          <w:szCs w:val="21"/>
        </w:rPr>
      </w:pPr>
      <w:r>
        <w:rPr>
          <w:rFonts w:ascii="Calibri" w:hAnsi="Calibri" w:cs="Calibri"/>
          <w:color w:val="000000"/>
          <w:sz w:val="21"/>
          <w:szCs w:val="21"/>
        </w:rPr>
        <w:t>Polaris Bank — Customer Insight Analyst | Aug 2014 – Sep 2019</w:t>
      </w:r>
    </w:p>
    <w:p w14:paraId="2CC144CA" w14:textId="77777777" w:rsidR="00000000" w:rsidRDefault="00000000">
      <w:pPr>
        <w:numPr>
          <w:ilvl w:val="0"/>
          <w:numId w:val="5"/>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Information quality strategy and a single source of truth:</w:t>
      </w:r>
      <w:r>
        <w:rPr>
          <w:rFonts w:ascii="Calibri" w:eastAsia="Times New Roman" w:hAnsi="Calibri" w:cs="Calibri"/>
          <w:color w:val="000000"/>
          <w:sz w:val="21"/>
          <w:szCs w:val="21"/>
        </w:rPr>
        <w:t xml:space="preserve"> There was no consistent view of performance. I reviewed more than 10 years of reporting, removed duplicate measures, and set KPI definitions, reporting standards and data quality controls. I agreed these with Marketing, Operations and Customer Services, and agreed data definitions and delivery timings with external data partners so their figures matched ours.</w:t>
      </w:r>
    </w:p>
    <w:p w14:paraId="0D78CA89" w14:textId="77777777" w:rsidR="00000000" w:rsidRDefault="00000000">
      <w:pPr>
        <w:numPr>
          <w:ilvl w:val="0"/>
          <w:numId w:val="5"/>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Enterprise Power BI dashboard:</w:t>
      </w:r>
      <w:r>
        <w:rPr>
          <w:rFonts w:ascii="Calibri" w:eastAsia="Times New Roman" w:hAnsi="Calibri" w:cs="Calibri"/>
          <w:color w:val="000000"/>
          <w:sz w:val="21"/>
          <w:szCs w:val="21"/>
        </w:rPr>
        <w:t xml:space="preserve"> I led the design of a dashboard covering acquisition, retention, churn, transaction value, customer lifetime value, digital engagement and regional growth. I reconciled every KPI to source before go-live, and the dashboard became part of routine performance management. A dyslexic colleague told me busy reports overwhelmed her, so I redesigned it with one question per page, plain English, colour-blind-safe palettes, alt text and a "show as table" option.</w:t>
      </w:r>
    </w:p>
    <w:p w14:paraId="6DFE9261" w14:textId="77777777" w:rsidR="00000000" w:rsidRDefault="00000000">
      <w:pPr>
        <w:numPr>
          <w:ilvl w:val="0"/>
          <w:numId w:val="5"/>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Statistical modelling:</w:t>
      </w:r>
      <w:r>
        <w:rPr>
          <w:rFonts w:ascii="Calibri" w:eastAsia="Times New Roman" w:hAnsi="Calibri" w:cs="Calibri"/>
          <w:color w:val="000000"/>
          <w:sz w:val="21"/>
          <w:szCs w:val="21"/>
        </w:rPr>
        <w:t xml:space="preserve"> I built customer segments in SQL and SPSS using RFM scoring (how recently, how often and how much customers transact), and used regression and significance testing to make sure differences between groups were real. I forecast churn for the next two quarters and modelled different intervention scenarios. As lead analyst, I coordinated the analysis work and reviewed deliverables. My recommendations contributed to a 20% rise in revenue and a 5% improvement in retention within six months.</w:t>
      </w:r>
    </w:p>
    <w:p w14:paraId="5A427E4F" w14:textId="77777777" w:rsidR="00000000" w:rsidRDefault="00000000">
      <w:pPr>
        <w:numPr>
          <w:ilvl w:val="0"/>
          <w:numId w:val="5"/>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 xml:space="preserve">Explaining data to </w:t>
      </w:r>
      <w:proofErr w:type="gramStart"/>
      <w:r>
        <w:rPr>
          <w:rFonts w:ascii="Calibri" w:eastAsia="Times New Roman" w:hAnsi="Calibri" w:cs="Calibri"/>
          <w:b/>
          <w:bCs/>
          <w:color w:val="000000"/>
          <w:sz w:val="21"/>
          <w:szCs w:val="21"/>
        </w:rPr>
        <w:t>decision-makers</w:t>
      </w:r>
      <w:proofErr w:type="gramEnd"/>
      <w:r>
        <w:rPr>
          <w:rFonts w:ascii="Calibri" w:eastAsia="Times New Roman" w:hAnsi="Calibri" w:cs="Calibri"/>
          <w:b/>
          <w:bCs/>
          <w:color w:val="000000"/>
          <w:sz w:val="21"/>
          <w:szCs w:val="21"/>
        </w:rPr>
        <w:t>:</w:t>
      </w:r>
      <w:r>
        <w:rPr>
          <w:rFonts w:ascii="Calibri" w:eastAsia="Times New Roman" w:hAnsi="Calibri" w:cs="Calibri"/>
          <w:color w:val="000000"/>
          <w:sz w:val="21"/>
          <w:szCs w:val="21"/>
        </w:rPr>
        <w:t xml:space="preserve"> I wrote management information packs for senior leaders in a set format: what we found, why it matters and what we recommend, with the technical detail in an appendix.</w:t>
      </w:r>
    </w:p>
    <w:p w14:paraId="43F48C44" w14:textId="77777777" w:rsidR="00000000" w:rsidRDefault="00000000">
      <w:pPr>
        <w:pStyle w:val="Heading2"/>
        <w:rPr>
          <w:rFonts w:ascii="Calibri" w:eastAsia="Times New Roman" w:hAnsi="Calibri" w:cs="Calibri"/>
          <w:color w:val="000000"/>
        </w:rPr>
      </w:pPr>
      <w:r>
        <w:rPr>
          <w:rFonts w:ascii="Calibri" w:eastAsia="Times New Roman" w:hAnsi="Calibri" w:cs="Calibri"/>
          <w:color w:val="000000"/>
        </w:rPr>
        <w:t>Education &amp; Certifications</w:t>
      </w:r>
    </w:p>
    <w:p w14:paraId="17B5F84E" w14:textId="77777777" w:rsidR="00000000" w:rsidRDefault="00000000">
      <w:pPr>
        <w:numPr>
          <w:ilvl w:val="0"/>
          <w:numId w:val="6"/>
        </w:numPr>
        <w:spacing w:after="60"/>
        <w:rPr>
          <w:rFonts w:ascii="Calibri" w:eastAsia="Times New Roman" w:hAnsi="Calibri" w:cs="Calibri"/>
          <w:color w:val="000000"/>
          <w:sz w:val="21"/>
          <w:szCs w:val="21"/>
        </w:rPr>
      </w:pPr>
      <w:r>
        <w:rPr>
          <w:rFonts w:ascii="Calibri" w:eastAsia="Times New Roman" w:hAnsi="Calibri" w:cs="Calibri"/>
          <w:color w:val="000000"/>
          <w:sz w:val="21"/>
          <w:szCs w:val="21"/>
        </w:rPr>
        <w:t>MSc IT Security, Nottingham Trent University (2019–2021). Research project: a Hyperledger blockchain proof of concept for controlling and auditing access to electronic health records</w:t>
      </w:r>
    </w:p>
    <w:p w14:paraId="3B037585" w14:textId="77777777" w:rsidR="00000000" w:rsidRDefault="00000000">
      <w:pPr>
        <w:numPr>
          <w:ilvl w:val="0"/>
          <w:numId w:val="6"/>
        </w:numPr>
        <w:spacing w:after="60"/>
        <w:rPr>
          <w:rFonts w:ascii="Calibri" w:eastAsia="Times New Roman" w:hAnsi="Calibri" w:cs="Calibri"/>
          <w:color w:val="000000"/>
          <w:sz w:val="21"/>
          <w:szCs w:val="21"/>
        </w:rPr>
      </w:pPr>
      <w:r>
        <w:rPr>
          <w:rFonts w:ascii="Calibri" w:eastAsia="Times New Roman" w:hAnsi="Calibri" w:cs="Calibri"/>
          <w:color w:val="000000"/>
          <w:sz w:val="21"/>
          <w:szCs w:val="21"/>
        </w:rPr>
        <w:t>BSc Physics, University of Lagos (2008–2012)</w:t>
      </w:r>
    </w:p>
    <w:p w14:paraId="0EC0371A" w14:textId="7068DDF1" w:rsidR="00000000" w:rsidRDefault="00000000">
      <w:pPr>
        <w:numPr>
          <w:ilvl w:val="0"/>
          <w:numId w:val="6"/>
        </w:numPr>
        <w:spacing w:after="60"/>
        <w:rPr>
          <w:rFonts w:ascii="Calibri" w:eastAsia="Times New Roman" w:hAnsi="Calibri" w:cs="Calibri"/>
          <w:color w:val="000000"/>
          <w:sz w:val="21"/>
          <w:szCs w:val="21"/>
        </w:rPr>
      </w:pPr>
      <w:r>
        <w:rPr>
          <w:rFonts w:ascii="Calibri" w:eastAsia="Times New Roman" w:hAnsi="Calibri" w:cs="Calibri"/>
          <w:color w:val="000000"/>
          <w:sz w:val="21"/>
          <w:szCs w:val="21"/>
        </w:rPr>
        <w:t xml:space="preserve">AWS Certified Cloud Practitioner · AWS Solutions Architect Associate (in progress) </w:t>
      </w:r>
    </w:p>
    <w:p w14:paraId="7F0E945E" w14:textId="77777777" w:rsidR="00000000" w:rsidRDefault="00000000">
      <w:pPr>
        <w:pStyle w:val="Heading2"/>
        <w:rPr>
          <w:rFonts w:ascii="Calibri" w:eastAsia="Times New Roman" w:hAnsi="Calibri" w:cs="Calibri"/>
          <w:color w:val="000000"/>
        </w:rPr>
      </w:pPr>
      <w:r>
        <w:rPr>
          <w:rFonts w:ascii="Calibri" w:eastAsia="Times New Roman" w:hAnsi="Calibri" w:cs="Calibri"/>
          <w:color w:val="000000"/>
        </w:rPr>
        <w:lastRenderedPageBreak/>
        <w:t>Training, Mentoring &amp; Volunteering</w:t>
      </w:r>
    </w:p>
    <w:p w14:paraId="6D5ED5A1" w14:textId="77777777" w:rsidR="00000000" w:rsidRDefault="00000000">
      <w:pPr>
        <w:numPr>
          <w:ilvl w:val="0"/>
          <w:numId w:val="7"/>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Data Analytics Bootcamp Trainer, We-Are-Group UK</w:t>
      </w:r>
      <w:r>
        <w:rPr>
          <w:rFonts w:ascii="Calibri" w:eastAsia="Times New Roman" w:hAnsi="Calibri" w:cs="Calibri"/>
          <w:color w:val="000000"/>
          <w:sz w:val="21"/>
          <w:szCs w:val="21"/>
        </w:rPr>
        <w:t xml:space="preserve"> (Aug 2023 – Aug 2024): taught SQL, Python and secure data handling to career changers</w:t>
      </w:r>
    </w:p>
    <w:p w14:paraId="6A366883" w14:textId="77777777" w:rsidR="00000000" w:rsidRDefault="00000000">
      <w:pPr>
        <w:numPr>
          <w:ilvl w:val="0"/>
          <w:numId w:val="7"/>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Free SQL bootcamp</w:t>
      </w:r>
      <w:r>
        <w:rPr>
          <w:rFonts w:ascii="Calibri" w:eastAsia="Times New Roman" w:hAnsi="Calibri" w:cs="Calibri"/>
          <w:color w:val="000000"/>
          <w:sz w:val="21"/>
          <w:szCs w:val="21"/>
        </w:rPr>
        <w:t xml:space="preserve"> (Jan – Mar 2024): ran a 3-month programme for 30+ professionals</w:t>
      </w:r>
    </w:p>
    <w:p w14:paraId="44546080" w14:textId="77777777" w:rsidR="00000000" w:rsidRDefault="00000000">
      <w:pPr>
        <w:numPr>
          <w:ilvl w:val="0"/>
          <w:numId w:val="7"/>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Mentor, University of East London</w:t>
      </w:r>
      <w:r>
        <w:rPr>
          <w:rFonts w:ascii="Calibri" w:eastAsia="Times New Roman" w:hAnsi="Calibri" w:cs="Calibri"/>
          <w:color w:val="000000"/>
          <w:sz w:val="21"/>
          <w:szCs w:val="21"/>
        </w:rPr>
        <w:t xml:space="preserve"> (May 2024 – present): data science, analytics and AI students</w:t>
      </w:r>
    </w:p>
    <w:p w14:paraId="7406F274" w14:textId="77777777" w:rsidR="00000000" w:rsidRDefault="00000000">
      <w:pPr>
        <w:numPr>
          <w:ilvl w:val="0"/>
          <w:numId w:val="7"/>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Volunteer Data Analyst, Help Close By</w:t>
      </w:r>
      <w:r>
        <w:rPr>
          <w:rFonts w:ascii="Calibri" w:eastAsia="Times New Roman" w:hAnsi="Calibri" w:cs="Calibri"/>
          <w:color w:val="000000"/>
          <w:sz w:val="21"/>
          <w:szCs w:val="21"/>
        </w:rPr>
        <w:t xml:space="preserve"> (charity national app): made reporting easier to scale and use, which helped improve service delivery by 15% through better resource allocation</w:t>
      </w:r>
    </w:p>
    <w:p w14:paraId="499031D1" w14:textId="77777777" w:rsidR="00176138" w:rsidRDefault="00000000">
      <w:pPr>
        <w:numPr>
          <w:ilvl w:val="0"/>
          <w:numId w:val="7"/>
        </w:numPr>
        <w:spacing w:after="60"/>
        <w:rPr>
          <w:rFonts w:ascii="Calibri" w:eastAsia="Times New Roman" w:hAnsi="Calibri" w:cs="Calibri"/>
          <w:color w:val="000000"/>
          <w:sz w:val="21"/>
          <w:szCs w:val="21"/>
        </w:rPr>
      </w:pPr>
      <w:r>
        <w:rPr>
          <w:rFonts w:ascii="Calibri" w:eastAsia="Times New Roman" w:hAnsi="Calibri" w:cs="Calibri"/>
          <w:b/>
          <w:bCs/>
          <w:color w:val="000000"/>
          <w:sz w:val="21"/>
          <w:szCs w:val="21"/>
        </w:rPr>
        <w:t xml:space="preserve">Solution Architect Lead, </w:t>
      </w:r>
      <w:proofErr w:type="spellStart"/>
      <w:r>
        <w:rPr>
          <w:rFonts w:ascii="Calibri" w:eastAsia="Times New Roman" w:hAnsi="Calibri" w:cs="Calibri"/>
          <w:b/>
          <w:bCs/>
          <w:color w:val="000000"/>
          <w:sz w:val="21"/>
          <w:szCs w:val="21"/>
        </w:rPr>
        <w:t>TechFleet</w:t>
      </w:r>
      <w:proofErr w:type="spellEnd"/>
      <w:r>
        <w:rPr>
          <w:rFonts w:ascii="Calibri" w:eastAsia="Times New Roman" w:hAnsi="Calibri" w:cs="Calibri"/>
          <w:color w:val="000000"/>
          <w:sz w:val="21"/>
          <w:szCs w:val="21"/>
        </w:rPr>
        <w:t xml:space="preserve"> (US non-profit): designed a cloud-native learning app for users with dyslexia (Lambda, S3, Amazon Polly), agreeing shared designs with volunteers from different organisations</w:t>
      </w:r>
    </w:p>
    <w:sectPr w:rsidR="00176138">
      <w:headerReference w:type="even" r:id="rId7"/>
      <w:headerReference w:type="default" r:id="rId8"/>
      <w:headerReference w:type="first" r:id="rId9"/>
      <w:pgSz w:w="11906" w:h="16838"/>
      <w:pgMar w:top="840" w:right="920" w:bottom="840" w:left="9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8E3F1" w14:textId="77777777" w:rsidR="00176138" w:rsidRDefault="00176138" w:rsidP="00EE19DF">
      <w:r>
        <w:separator/>
      </w:r>
    </w:p>
  </w:endnote>
  <w:endnote w:type="continuationSeparator" w:id="0">
    <w:p w14:paraId="59F8457E" w14:textId="77777777" w:rsidR="00176138" w:rsidRDefault="00176138" w:rsidP="00EE1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3C332" w14:textId="77777777" w:rsidR="00176138" w:rsidRDefault="00176138" w:rsidP="00EE19DF">
      <w:r>
        <w:separator/>
      </w:r>
    </w:p>
  </w:footnote>
  <w:footnote w:type="continuationSeparator" w:id="0">
    <w:p w14:paraId="66095B00" w14:textId="77777777" w:rsidR="00176138" w:rsidRDefault="00176138" w:rsidP="00EE19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82A9" w14:textId="1F2700FC" w:rsidR="00EE19DF" w:rsidRDefault="00EE19DF">
    <w:pPr>
      <w:pStyle w:val="Header"/>
    </w:pPr>
    <w:r>
      <w:rPr>
        <w:noProof/>
      </w:rPr>
      <mc:AlternateContent>
        <mc:Choice Requires="wps">
          <w:drawing>
            <wp:anchor distT="0" distB="0" distL="0" distR="0" simplePos="0" relativeHeight="251659264" behindDoc="0" locked="0" layoutInCell="1" allowOverlap="1" wp14:anchorId="365D931F" wp14:editId="3DCFEFC1">
              <wp:simplePos x="635" y="635"/>
              <wp:positionH relativeFrom="page">
                <wp:align>left</wp:align>
              </wp:positionH>
              <wp:positionV relativeFrom="page">
                <wp:align>top</wp:align>
              </wp:positionV>
              <wp:extent cx="930910" cy="345440"/>
              <wp:effectExtent l="0" t="0" r="2540" b="16510"/>
              <wp:wrapNone/>
              <wp:docPr id="1343382870"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45440"/>
                      </a:xfrm>
                      <a:prstGeom prst="rect">
                        <a:avLst/>
                      </a:prstGeom>
                      <a:noFill/>
                      <a:ln>
                        <a:noFill/>
                      </a:ln>
                    </wps:spPr>
                    <wps:txbx>
                      <w:txbxContent>
                        <w:p w14:paraId="21B8BAC2" w14:textId="46E1600B" w:rsidR="00EE19DF" w:rsidRPr="00EE19DF" w:rsidRDefault="00EE19DF" w:rsidP="00EE19DF">
                          <w:pPr>
                            <w:rPr>
                              <w:rFonts w:ascii="Aptos" w:eastAsia="Aptos" w:hAnsi="Aptos" w:cs="Aptos"/>
                              <w:noProof/>
                              <w:color w:val="000000"/>
                              <w:sz w:val="20"/>
                              <w:szCs w:val="20"/>
                            </w:rPr>
                          </w:pPr>
                          <w:r w:rsidRPr="00EE19DF">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5D931F" id="_x0000_t202" coordsize="21600,21600" o:spt="202" path="m,l,21600r21600,l21600,xe">
              <v:stroke joinstyle="miter"/>
              <v:path gradientshapeok="t" o:connecttype="rect"/>
            </v:shapetype>
            <v:shape id="Text Box 2" o:spid="_x0000_s1026" type="#_x0000_t202" alt="Confidential" style="position:absolute;margin-left:0;margin-top:0;width:73.3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" filled="f" stroked="f">
              <v:fill o:detectmouseclick="t"/>
              <v:textbox style="mso-fit-shape-to-text:t" inset="20pt,15pt,0,0">
                <w:txbxContent>
                  <w:p w14:paraId="21B8BAC2" w14:textId="46E1600B" w:rsidR="00EE19DF" w:rsidRPr="00EE19DF" w:rsidRDefault="00EE19DF" w:rsidP="00EE19DF">
                    <w:pPr>
                      <w:rPr>
                        <w:rFonts w:ascii="Aptos" w:eastAsia="Aptos" w:hAnsi="Aptos" w:cs="Aptos"/>
                        <w:noProof/>
                        <w:color w:val="000000"/>
                        <w:sz w:val="20"/>
                        <w:szCs w:val="20"/>
                      </w:rPr>
                    </w:pPr>
                    <w:r w:rsidRPr="00EE19DF">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8A41D" w14:textId="0AFDE70C" w:rsidR="00EE19DF" w:rsidRDefault="00EE19DF">
    <w:pPr>
      <w:pStyle w:val="Header"/>
    </w:pPr>
    <w:r>
      <w:rPr>
        <w:noProof/>
      </w:rPr>
      <mc:AlternateContent>
        <mc:Choice Requires="wps">
          <w:drawing>
            <wp:anchor distT="0" distB="0" distL="0" distR="0" simplePos="0" relativeHeight="251660288" behindDoc="0" locked="0" layoutInCell="1" allowOverlap="1" wp14:anchorId="49956A3C" wp14:editId="3A5E649E">
              <wp:simplePos x="586740" y="449580"/>
              <wp:positionH relativeFrom="page">
                <wp:align>left</wp:align>
              </wp:positionH>
              <wp:positionV relativeFrom="page">
                <wp:align>top</wp:align>
              </wp:positionV>
              <wp:extent cx="930910" cy="345440"/>
              <wp:effectExtent l="0" t="0" r="2540" b="16510"/>
              <wp:wrapNone/>
              <wp:docPr id="1044361421"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45440"/>
                      </a:xfrm>
                      <a:prstGeom prst="rect">
                        <a:avLst/>
                      </a:prstGeom>
                      <a:noFill/>
                      <a:ln>
                        <a:noFill/>
                      </a:ln>
                    </wps:spPr>
                    <wps:txbx>
                      <w:txbxContent>
                        <w:p w14:paraId="7D8F0027" w14:textId="7205E674" w:rsidR="00EE19DF" w:rsidRPr="00EE19DF" w:rsidRDefault="00EE19DF" w:rsidP="00EE19DF">
                          <w:pPr>
                            <w:rPr>
                              <w:rFonts w:ascii="Aptos" w:eastAsia="Aptos" w:hAnsi="Aptos" w:cs="Aptos"/>
                              <w:noProof/>
                              <w:color w:val="000000"/>
                              <w:sz w:val="20"/>
                              <w:szCs w:val="20"/>
                            </w:rPr>
                          </w:pPr>
                          <w:r w:rsidRPr="00EE19DF">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9956A3C" id="_x0000_t202" coordsize="21600,21600" o:spt="202" path="m,l,21600r21600,l21600,xe">
              <v:stroke joinstyle="miter"/>
              <v:path gradientshapeok="t" o:connecttype="rect"/>
            </v:shapetype>
            <v:shape id="Text Box 3" o:spid="_x0000_s1027" type="#_x0000_t202" alt="Confidential" style="position:absolute;margin-left:0;margin-top:0;width:73.3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" filled="f" stroked="f">
              <v:fill o:detectmouseclick="t"/>
              <v:textbox style="mso-fit-shape-to-text:t" inset="20pt,15pt,0,0">
                <w:txbxContent>
                  <w:p w14:paraId="7D8F0027" w14:textId="7205E674" w:rsidR="00EE19DF" w:rsidRPr="00EE19DF" w:rsidRDefault="00EE19DF" w:rsidP="00EE19DF">
                    <w:pPr>
                      <w:rPr>
                        <w:rFonts w:ascii="Aptos" w:eastAsia="Aptos" w:hAnsi="Aptos" w:cs="Aptos"/>
                        <w:noProof/>
                        <w:color w:val="000000"/>
                        <w:sz w:val="20"/>
                        <w:szCs w:val="20"/>
                      </w:rPr>
                    </w:pPr>
                    <w:r w:rsidRPr="00EE19DF">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92FDF" w14:textId="4DB7D5DD" w:rsidR="00EE19DF" w:rsidRDefault="00EE19DF">
    <w:pPr>
      <w:pStyle w:val="Header"/>
    </w:pPr>
    <w:r>
      <w:rPr>
        <w:noProof/>
      </w:rPr>
      <mc:AlternateContent>
        <mc:Choice Requires="wps">
          <w:drawing>
            <wp:anchor distT="0" distB="0" distL="0" distR="0" simplePos="0" relativeHeight="251658240" behindDoc="0" locked="0" layoutInCell="1" allowOverlap="1" wp14:anchorId="20946FAE" wp14:editId="70DAA38B">
              <wp:simplePos x="635" y="635"/>
              <wp:positionH relativeFrom="page">
                <wp:align>left</wp:align>
              </wp:positionH>
              <wp:positionV relativeFrom="page">
                <wp:align>top</wp:align>
              </wp:positionV>
              <wp:extent cx="930910" cy="345440"/>
              <wp:effectExtent l="0" t="0" r="2540" b="16510"/>
              <wp:wrapNone/>
              <wp:docPr id="171280973"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45440"/>
                      </a:xfrm>
                      <a:prstGeom prst="rect">
                        <a:avLst/>
                      </a:prstGeom>
                      <a:noFill/>
                      <a:ln>
                        <a:noFill/>
                      </a:ln>
                    </wps:spPr>
                    <wps:txbx>
                      <w:txbxContent>
                        <w:p w14:paraId="34CE4669" w14:textId="686FEBA1" w:rsidR="00EE19DF" w:rsidRPr="00EE19DF" w:rsidRDefault="00EE19DF" w:rsidP="00EE19DF">
                          <w:pPr>
                            <w:rPr>
                              <w:rFonts w:ascii="Aptos" w:eastAsia="Aptos" w:hAnsi="Aptos" w:cs="Aptos"/>
                              <w:noProof/>
                              <w:color w:val="000000"/>
                              <w:sz w:val="20"/>
                              <w:szCs w:val="20"/>
                            </w:rPr>
                          </w:pPr>
                          <w:r w:rsidRPr="00EE19DF">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0946FAE" id="_x0000_t202" coordsize="21600,21600" o:spt="202" path="m,l,21600r21600,l21600,xe">
              <v:stroke joinstyle="miter"/>
              <v:path gradientshapeok="t" o:connecttype="rect"/>
            </v:shapetype>
            <v:shape id="Text Box 1" o:spid="_x0000_s1028" type="#_x0000_t202" alt="Confidential" style="position:absolute;margin-left:0;margin-top:0;width:73.3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" filled="f" stroked="f">
              <v:fill o:detectmouseclick="t"/>
              <v:textbox style="mso-fit-shape-to-text:t" inset="20pt,15pt,0,0">
                <w:txbxContent>
                  <w:p w14:paraId="34CE4669" w14:textId="686FEBA1" w:rsidR="00EE19DF" w:rsidRPr="00EE19DF" w:rsidRDefault="00EE19DF" w:rsidP="00EE19DF">
                    <w:pPr>
                      <w:rPr>
                        <w:rFonts w:ascii="Aptos" w:eastAsia="Aptos" w:hAnsi="Aptos" w:cs="Aptos"/>
                        <w:noProof/>
                        <w:color w:val="000000"/>
                        <w:sz w:val="20"/>
                        <w:szCs w:val="20"/>
                      </w:rPr>
                    </w:pPr>
                    <w:r w:rsidRPr="00EE19DF">
                      <w:rPr>
                        <w:rFonts w:ascii="Aptos" w:eastAsia="Aptos" w:hAnsi="Aptos" w:cs="Aptos"/>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F3C"/>
    <w:multiLevelType w:val="multilevel"/>
    <w:tmpl w:val="DF90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6031"/>
    <w:multiLevelType w:val="multilevel"/>
    <w:tmpl w:val="05F6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35CC5"/>
    <w:multiLevelType w:val="multilevel"/>
    <w:tmpl w:val="74A0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63B93"/>
    <w:multiLevelType w:val="multilevel"/>
    <w:tmpl w:val="8CE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1517E"/>
    <w:multiLevelType w:val="multilevel"/>
    <w:tmpl w:val="35BC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B080B"/>
    <w:multiLevelType w:val="multilevel"/>
    <w:tmpl w:val="73F6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84966"/>
    <w:multiLevelType w:val="multilevel"/>
    <w:tmpl w:val="2054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081018">
    <w:abstractNumId w:val="1"/>
  </w:num>
  <w:num w:numId="2" w16cid:durableId="503713371">
    <w:abstractNumId w:val="4"/>
  </w:num>
  <w:num w:numId="3" w16cid:durableId="1472405173">
    <w:abstractNumId w:val="5"/>
  </w:num>
  <w:num w:numId="4" w16cid:durableId="181018288">
    <w:abstractNumId w:val="3"/>
  </w:num>
  <w:num w:numId="5" w16cid:durableId="542405143">
    <w:abstractNumId w:val="0"/>
  </w:num>
  <w:num w:numId="6" w16cid:durableId="9381122">
    <w:abstractNumId w:val="2"/>
  </w:num>
  <w:num w:numId="7" w16cid:durableId="20651762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19DF"/>
    <w:rsid w:val="00176138"/>
    <w:rsid w:val="006654A5"/>
    <w:rsid w:val="008950EB"/>
    <w:rsid w:val="00EE19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448CE"/>
  <w15:chartTrackingRefBased/>
  <w15:docId w15:val="{846A9AC0-913B-4231-8316-9AD07160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jc w:val="center"/>
      <w:outlineLvl w:val="0"/>
    </w:pPr>
    <w:rPr>
      <w:b/>
      <w:bCs/>
      <w:spacing w:val="20"/>
      <w:kern w:val="36"/>
      <w:sz w:val="36"/>
      <w:szCs w:val="36"/>
    </w:rPr>
  </w:style>
  <w:style w:type="paragraph" w:styleId="Heading2">
    <w:name w:val="heading 2"/>
    <w:basedOn w:val="Normal"/>
    <w:link w:val="Heading2Char"/>
    <w:uiPriority w:val="9"/>
    <w:qFormat/>
    <w:pPr>
      <w:pBdr>
        <w:bottom w:val="single" w:sz="6" w:space="1" w:color="000000"/>
      </w:pBdr>
      <w:spacing w:before="200" w:after="80"/>
      <w:outlineLvl w:val="1"/>
    </w:pPr>
    <w:rPr>
      <w:b/>
      <w:bCs/>
      <w:caps/>
      <w:spacing w:val="1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80"/>
    </w:pPr>
  </w:style>
  <w:style w:type="paragraph" w:styleId="NormalWeb">
    <w:name w:val="Normal (Web)"/>
    <w:basedOn w:val="Normal"/>
    <w:uiPriority w:val="99"/>
    <w:semiHidden/>
    <w:unhideWhenUsed/>
    <w:pPr>
      <w:spacing w:after="80"/>
    </w:pPr>
  </w:style>
  <w:style w:type="paragraph" w:customStyle="1" w:styleId="contact">
    <w:name w:val="contact"/>
    <w:basedOn w:val="Normal"/>
    <w:pPr>
      <w:spacing w:after="80"/>
      <w:jc w:val="center"/>
    </w:pPr>
    <w:rPr>
      <w:sz w:val="20"/>
      <w:szCs w:val="20"/>
    </w:rPr>
  </w:style>
  <w:style w:type="paragraph" w:customStyle="1" w:styleId="headline">
    <w:name w:val="headline"/>
    <w:basedOn w:val="Normal"/>
    <w:pPr>
      <w:spacing w:after="160"/>
      <w:jc w:val="center"/>
    </w:pPr>
    <w:rPr>
      <w:b/>
      <w:bCs/>
      <w:sz w:val="21"/>
      <w:szCs w:val="21"/>
    </w:rPr>
  </w:style>
  <w:style w:type="paragraph" w:customStyle="1" w:styleId="role">
    <w:name w:val="role"/>
    <w:basedOn w:val="Normal"/>
    <w:pPr>
      <w:spacing w:before="120" w:after="20"/>
    </w:pPr>
    <w:rPr>
      <w:b/>
      <w:bCs/>
    </w:rPr>
  </w:style>
  <w:style w:type="paragraph" w:customStyle="1" w:styleId="context">
    <w:name w:val="context"/>
    <w:basedOn w:val="Normal"/>
    <w:pPr>
      <w:spacing w:after="60"/>
    </w:pPr>
    <w:rPr>
      <w:i/>
      <w:iCs/>
    </w:rPr>
  </w:style>
  <w:style w:type="character" w:customStyle="1" w:styleId="confirm">
    <w:name w:val="confirm"/>
    <w:basedOn w:val="DefaultParagraphFont"/>
    <w:rPr>
      <w:b/>
      <w:bCs/>
      <w:highlight w:val="yellow"/>
    </w:rPr>
  </w:style>
  <w:style w:type="paragraph" w:styleId="Header">
    <w:name w:val="header"/>
    <w:basedOn w:val="Normal"/>
    <w:link w:val="HeaderChar"/>
    <w:uiPriority w:val="99"/>
    <w:unhideWhenUsed/>
    <w:rsid w:val="00EE19DF"/>
    <w:pPr>
      <w:tabs>
        <w:tab w:val="center" w:pos="4513"/>
        <w:tab w:val="right" w:pos="9026"/>
      </w:tabs>
    </w:pPr>
  </w:style>
  <w:style w:type="character" w:customStyle="1" w:styleId="HeaderChar">
    <w:name w:val="Header Char"/>
    <w:basedOn w:val="DefaultParagraphFont"/>
    <w:link w:val="Header"/>
    <w:uiPriority w:val="99"/>
    <w:rsid w:val="00EE19DF"/>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2115</Words>
  <Characters>12058</Characters>
  <Application>Microsoft Office Word</Application>
  <DocSecurity>0</DocSecurity>
  <Lines>100</Lines>
  <Paragraphs>28</Paragraphs>
  <ScaleCrop>false</ScaleCrop>
  <Company>Santander</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Kolawole Paul Oshikoya - Data Engineer CV (National Grid)</dc:title>
  <dc:subject/>
  <dc:creator>Oshikoya, Kolawole (Santander UK)</dc:creator>
  <cp:keywords/>
  <dc:description/>
  <cp:lastModifiedBy>Oshikoya, Kolawole (Santander UK)</cp:lastModifiedBy>
  <cp:revision>3</cp:revision>
  <dcterms:created xsi:type="dcterms:W3CDTF">2026-10-22T22:09:00Z</dcterms:created>
  <dcterms:modified xsi:type="dcterms:W3CDTF">2026-10-22T22:13:00Z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a358a4d,50126556,3e3fb0cd</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2026-10-22T22:09:17Z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9b539316-140c-45cc-af6d-737a20bc2a6a</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ies>
</file>