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DC2C" w14:textId="3D2D0984" w:rsidR="009070CB" w:rsidRPr="009070CB" w:rsidRDefault="009070CB" w:rsidP="009070CB">
      <w:r w:rsidRPr="009070CB">
        <w:t xml:space="preserve">I am an experienced Data Engineer and Solutions Architect with an MSc IT Security, BSc Physics, AWS Certified Cloud Practitioner and AWS Solutions Architect Associate credentials, combining data engineering, cloud architecture, cybersecurity and analytical problem-solving. What draws me to this role is your aim to engineer for analytical value. The work I am proudest of is a data-access process cut from two hours to around ten minutes, a four-to-five-hour weekly manual audit replaced by a five-minute automated report, and governance controls restored across a platform used by more than 300 engineers. I bring expertise across Python, SQL, Azure, Databricks, Delta Lake, Spark/PySpark, Snowflake, AWS, Kafka, Airflow, dbt, Terraform, Git and GitHub Actions. </w:t>
      </w:r>
      <w:r w:rsidR="00CF0898" w:rsidRPr="00CF0898">
        <w:t>I would bring the values of working together for patients, respect and dignity, commitment to quality of care, compassion, improving lives and everyone counts to engineering reliable data services that enable informed decisions, efficient operations and better outcomes.</w:t>
      </w:r>
    </w:p>
    <w:p w14:paraId="181B7AD3" w14:textId="6DEF3025" w:rsidR="009070CB" w:rsidRPr="009070CB" w:rsidRDefault="009070CB" w:rsidP="009070CB">
      <w:r w:rsidRPr="009070CB">
        <w:t>As Data Engineer at Santander, I design and maintain ETL/ELT pipelines using Python and SQL, integrating customer, account, lending and payment data into trusted datasets. Data reaches our platform fr</w:t>
      </w:r>
      <w:r>
        <w:t>om 200</w:t>
      </w:r>
      <w:r w:rsidRPr="009070CB">
        <w:t xml:space="preserve"> producer teams and source systems. To handle this, I built a standard onboarding pattern covering IAM role mapping, repository provisioning and Lake Formation permissions, so new sources no longer need bespoke engineering. I engineer Azure, Databricks and Delta Lake lakehouse solutions, supporting schema evolution, partitioning and storage optimisation. Microsoft Fabric's Lakehouse and OneLake use the same open Delta format and Spark engine, so this experience carries over directly, and I understand how Data Factory pipelines feed Power BI through Direct Lake</w:t>
      </w:r>
      <w:r w:rsidR="006F6047">
        <w:t>.</w:t>
      </w:r>
      <w:r w:rsidRPr="009070CB">
        <w:t xml:space="preserve"> For event-driven requirements, I use Apache Kafka, change-data-capture, deduplication, replay controls and schema validation, with Airflow handling orchestration, retries and recovery. I design for backfill from the start. Loads are partition-based and safe to rerun, so a failed window can be replayed without duplicates, and record counts are reconciled before anyone downstream sees the data. Automated dbt tests check completeness, validity and referential integrity, so problems are caught before they reach a report.</w:t>
      </w:r>
    </w:p>
    <w:p w14:paraId="7143A76C" w14:textId="0B535180" w:rsidR="009070CB" w:rsidRPr="009070CB" w:rsidRDefault="009070CB" w:rsidP="009070CB">
      <w:r w:rsidRPr="009070CB">
        <w:t xml:space="preserve">My Santander work also demonstrates strong solution architecture. When I joined my current team, I reviewed our multi-account data platform and found several services no longer met the bank's approved standards. Working with cloud, platform and security colleagues, I redesigned it layer by layer, removing unnecessary data movement and reducing operational cost by around 25%. In the strategic legacy-platform decommissioning, I led the readiness assessment for approximately 80 high-compute use cases. I started by listening. I ran seven workshops, grouped users into personas and worked through Data, Solution, Technical and Security Architecture reviews before architecture governance approved the target design. Reconciliation was a condition of sign-off. When testing revealed mismatched customer records that would have affected payment reporting, I wrote a Python validation script and held those datasets back until </w:t>
      </w:r>
      <w:r w:rsidRPr="009070CB">
        <w:lastRenderedPageBreak/>
        <w:t>they passed. In the ICBs, I would manage change the same way: mapping every analytical dependency, agreeing risk mitigations and using proper change control, so no analyst or commissioner is caught out by an unintended break. I would also manage platform spend against budget and work with procurement and suppliers on contracts and licensing, so the platform delivers value for money.</w:t>
      </w:r>
    </w:p>
    <w:p w14:paraId="4B7AD1F8" w14:textId="166A4889" w:rsidR="009070CB" w:rsidRPr="009070CB" w:rsidRDefault="009070CB" w:rsidP="009070CB">
      <w:r w:rsidRPr="009070CB">
        <w:t>I embed data governance and security into architecture. At Santander, I designed and operationalised AWS Lake Formation LF-Tag-based access control across a multi-account platform supporting 300+ engineers. I classified data at database, table and column level in line with GDPR, PCI DSS and BCBS 239. When more than 1,500 tag validations silently failed, I worked through six structured debugging cycles, found metadata-hierarchy and case-sensitivity defects and restored enforcement. I also build encryption, data masking, retention policies and audit logging into my solutions. I understand when tokenisation is better than masking, for example when a pseudonymised NHS number still needs to be joined across datasets. In the ICBs, I would work within UK GDPR, the Data Protection Act 2018, the Caldicott Principles and the NHS Code of Confidentiality. I would partner with IG, ICT and cyber security colleagues on data sharing agreements and contribute to the Data Security and Protection Toolkit submission.</w:t>
      </w:r>
    </w:p>
    <w:p w14:paraId="41D5FB20" w14:textId="4F18D152" w:rsidR="009070CB" w:rsidRPr="009070CB" w:rsidRDefault="009070CB" w:rsidP="009070CB">
      <w:r w:rsidRPr="009070CB">
        <w:t>I combine Infrastructure as Code and DevOps with disciplined production engineering. I architected a self-healing solution using Python Lambda, EventBridge, SNS and Terraform to remediate Terraform-state mismatches, supported by 14 pytest/moto unit tests and phased DEV, PRE and PROD deployment with dry-run validation. When a shared GitHub Actions workflow change broke Terraform deployments across all three environments, I traced a version downgrade and fixed state corruption caused by overlapping runs. I then wrote guides so other teams could resolve similar issues themselves. I work with feature branches, peer-reviewed pull requests and protected main branches. I also regularly review large volumes of colleagues' and contractors' code for performance, security and standards. This discipline carries straight over to Fabric's Git integration and deployment pipelines, and to Azure DevOps repositories shared across teams.</w:t>
      </w:r>
    </w:p>
    <w:p w14:paraId="490FC0E8" w14:textId="77777777" w:rsidR="009070CB" w:rsidRPr="009070CB" w:rsidRDefault="009070CB" w:rsidP="009070CB">
      <w:r w:rsidRPr="009070CB">
        <w:t xml:space="preserve">My approach to performance and incidents is evidence-led. For a regulatory workload, I diagnosed S3 503 throttling affecting a Glue job scanning 2,405 partitions and designed layered remediation using controlled parallelism, retry/backoff tuning and chunked processing. I also built an automated EMR compliance agent that checks more than 100 clusters every week, links each one to its owning team and raises a Jira ticket with the exact Terraform fix. It found 9 clusters past end of support and 55 approaching it, enforced idle timeouts to cut wasted compute, and turned four to five hours of manual checking each week into a five-minute report. I would apply the same thinking to Snowflake and Fabric. That means sizing and separating virtual warehouses by </w:t>
      </w:r>
      <w:r w:rsidRPr="009070CB">
        <w:lastRenderedPageBreak/>
        <w:t>workload, using resource monitors and query profile to control credit consumption, and using Delta compaction and capacity monitoring to keep Fabric performance and cost predictable.</w:t>
      </w:r>
    </w:p>
    <w:p w14:paraId="7C686CA7" w14:textId="77777777" w:rsidR="009070CB" w:rsidRPr="009070CB" w:rsidRDefault="009070CB" w:rsidP="009070CB">
      <w:r w:rsidRPr="009070CB">
        <w:t>Earlier, as Data Solution Analyst at Santander, I profiled datasets with Informatica Data Quality, documented field mappings and built Power BI semantic models and DAX measures aligned with approved business definitions. I coordinated UAT and investigated bottlenecks using execution plans, indexing and incremental loading. Working with data owners to fix quality issues at source is the approach I would take with provider colleagues to improve data from provider EPRs. As Data Analyst, I used SAS and cohort analysis, and built a financial crime framework linking customer identities with Suspicious Activity Report narratives. This taught me how carefully sensitive personal data must be linked and audited.</w:t>
      </w:r>
    </w:p>
    <w:p w14:paraId="4D1D43D8" w14:textId="7DF39879" w:rsidR="009070CB" w:rsidRPr="009070CB" w:rsidRDefault="009070CB" w:rsidP="009070CB">
      <w:r w:rsidRPr="009070CB">
        <w:t>Beyond engineering, I lead and develop others. I mentor junior analysts and engineers, ran a free SQL bootcamp, trained learners at We-Are-Group and mentor University of East London students. I coached teams adopting AI tools such as EMR Advisor on Amazon Bedrock, including the guardrails for using them responsibly. Some colleagues were hesitant about my data-access automation, so I ran a live demonstration, and I was later invited to present it to the wider engineering community. As technical lead for moving 64 production EMR clusters onto a single supported version, I coordinated 15 teams across 11 repositories within a three-week window. Some teams pushed back on the timescales. Rather than forcing the change, I set up a Jira exception route with escalation after five days. This kept relationships constructive while protecting the platform, and it left me room to handle unplanned production issues along the way. I also help data science teams move work into production by provisioning SageMaker domains and migrating CDSW workloads</w:t>
      </w:r>
      <w:r w:rsidR="00D75793">
        <w:t>.</w:t>
      </w:r>
      <w:r w:rsidRPr="009070CB">
        <w:t xml:space="preserve"> I would build on this to help the ICBs put machine learning and AI into production safely. I contributed to a Target Operating Model for 300+ engineers, and I deliver using Agile, Scrum and Kanban, with decision records, runbooks and lineage documentation.</w:t>
      </w:r>
    </w:p>
    <w:p w14:paraId="77E73238" w14:textId="24F0DF80" w:rsidR="007C1C76" w:rsidRDefault="009070CB" w:rsidP="009070CB">
      <w:r w:rsidRPr="009070CB">
        <w:t>I promote EDI through accessible communication, inclusive technical discussions and constructive challenge. My career has been in banking, but banking shares many of the NHS's pressures: sensitive personal data, strict audit requirements, legacy systems and competing priorities. Volunteering as a Data Analyst on Help Close By's national app showed me how better reporting can improve service delivery, in that case by 15%. I would bring this to working in partnership with commissioners, clinicians, place-based and neighbourhood teams, provider trusts, local authorities, OneLondon, OLDAS and NECS DSCRO, so that the platform I help build supports staff, patients and communities across South London.</w:t>
      </w:r>
    </w:p>
    <w:sectPr w:rsidR="007C1C76">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44E6" w14:textId="77777777" w:rsidR="008771CC" w:rsidRDefault="008771CC" w:rsidP="00E66C6C">
      <w:pPr>
        <w:spacing w:after="0" w:line="240" w:lineRule="auto"/>
      </w:pPr>
      <w:r>
        <w:separator/>
      </w:r>
    </w:p>
  </w:endnote>
  <w:endnote w:type="continuationSeparator" w:id="0">
    <w:p w14:paraId="61995CB2" w14:textId="77777777" w:rsidR="008771CC" w:rsidRDefault="008771CC" w:rsidP="00E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3F3C9" w14:textId="77777777" w:rsidR="008771CC" w:rsidRDefault="008771CC" w:rsidP="00E66C6C">
      <w:pPr>
        <w:spacing w:after="0" w:line="240" w:lineRule="auto"/>
      </w:pPr>
      <w:r>
        <w:separator/>
      </w:r>
    </w:p>
  </w:footnote>
  <w:footnote w:type="continuationSeparator" w:id="0">
    <w:p w14:paraId="10CD2F5F" w14:textId="77777777" w:rsidR="008771CC" w:rsidRDefault="008771CC" w:rsidP="00E66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C01C" w14:textId="3D5A78F1" w:rsidR="00E66C6C" w:rsidRDefault="00E66C6C">
    <w:pPr>
      <w:pStyle w:val="Header"/>
    </w:pPr>
    <w:r>
      <w:rPr>
        <w:noProof/>
      </w:rPr>
      <mc:AlternateContent>
        <mc:Choice Requires="wps">
          <w:drawing>
            <wp:anchor distT="0" distB="0" distL="0" distR="0" simplePos="0" relativeHeight="251659264" behindDoc="0" locked="0" layoutInCell="1" allowOverlap="1" wp14:anchorId="52DE8593" wp14:editId="32C2526B">
              <wp:simplePos x="635" y="635"/>
              <wp:positionH relativeFrom="page">
                <wp:align>left</wp:align>
              </wp:positionH>
              <wp:positionV relativeFrom="page">
                <wp:align>top</wp:align>
              </wp:positionV>
              <wp:extent cx="930275" cy="370205"/>
              <wp:effectExtent l="0" t="0" r="3175" b="10795"/>
              <wp:wrapNone/>
              <wp:docPr id="827567296"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03EB1DFF" w14:textId="6DEA65FF"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DE8593"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fill o:detectmouseclick="t"/>
              <v:textbox style="mso-fit-shape-to-text:t" inset="20pt,15pt,0,0">
                <w:txbxContent>
                  <w:p w14:paraId="03EB1DFF" w14:textId="6DEA65FF"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4CFE" w14:textId="3B492B11" w:rsidR="00E66C6C" w:rsidRDefault="00E66C6C">
    <w:pPr>
      <w:pStyle w:val="Header"/>
    </w:pPr>
    <w:r>
      <w:rPr>
        <w:noProof/>
      </w:rPr>
      <mc:AlternateContent>
        <mc:Choice Requires="wps">
          <w:drawing>
            <wp:anchor distT="0" distB="0" distL="0" distR="0" simplePos="0" relativeHeight="251660288" behindDoc="0" locked="0" layoutInCell="1" allowOverlap="1" wp14:anchorId="01061175" wp14:editId="5B59322A">
              <wp:simplePos x="914400" y="447675"/>
              <wp:positionH relativeFrom="page">
                <wp:align>left</wp:align>
              </wp:positionH>
              <wp:positionV relativeFrom="page">
                <wp:align>top</wp:align>
              </wp:positionV>
              <wp:extent cx="930275" cy="370205"/>
              <wp:effectExtent l="0" t="0" r="3175" b="10795"/>
              <wp:wrapNone/>
              <wp:docPr id="188530669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04FE81CE" w14:textId="32C6766E"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061175"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fill o:detectmouseclick="t"/>
              <v:textbox style="mso-fit-shape-to-text:t" inset="20pt,15pt,0,0">
                <w:txbxContent>
                  <w:p w14:paraId="04FE81CE" w14:textId="32C6766E"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931FE" w14:textId="02385A1B" w:rsidR="00E66C6C" w:rsidRDefault="00E66C6C">
    <w:pPr>
      <w:pStyle w:val="Header"/>
    </w:pPr>
    <w:r>
      <w:rPr>
        <w:noProof/>
      </w:rPr>
      <mc:AlternateContent>
        <mc:Choice Requires="wps">
          <w:drawing>
            <wp:anchor distT="0" distB="0" distL="0" distR="0" simplePos="0" relativeHeight="251658240" behindDoc="0" locked="0" layoutInCell="1" allowOverlap="1" wp14:anchorId="46E56585" wp14:editId="5DFB831E">
              <wp:simplePos x="635" y="635"/>
              <wp:positionH relativeFrom="page">
                <wp:align>left</wp:align>
              </wp:positionH>
              <wp:positionV relativeFrom="page">
                <wp:align>top</wp:align>
              </wp:positionV>
              <wp:extent cx="930275" cy="370205"/>
              <wp:effectExtent l="0" t="0" r="3175" b="10795"/>
              <wp:wrapNone/>
              <wp:docPr id="65614719"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1F9C27D" w14:textId="25A711CC"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6E56585"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fill o:detectmouseclick="t"/>
              <v:textbox style="mso-fit-shape-to-text:t" inset="20pt,15pt,0,0">
                <w:txbxContent>
                  <w:p w14:paraId="41F9C27D" w14:textId="25A711CC" w:rsidR="00E66C6C" w:rsidRPr="00E66C6C" w:rsidRDefault="00E66C6C" w:rsidP="00E66C6C">
                    <w:pPr>
                      <w:spacing w:after="0"/>
                      <w:rPr>
                        <w:rFonts w:ascii="Aptos" w:eastAsia="Aptos" w:hAnsi="Aptos" w:cs="Aptos"/>
                        <w:noProof/>
                        <w:color w:val="000000"/>
                        <w:sz w:val="20"/>
                        <w:szCs w:val="20"/>
                      </w:rPr>
                    </w:pPr>
                    <w:r w:rsidRPr="00E66C6C">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6FF"/>
    <w:multiLevelType w:val="multilevel"/>
    <w:tmpl w:val="9C12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13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CB"/>
    <w:rsid w:val="003373DB"/>
    <w:rsid w:val="006F6047"/>
    <w:rsid w:val="007C1C76"/>
    <w:rsid w:val="008771CC"/>
    <w:rsid w:val="00896D64"/>
    <w:rsid w:val="009070CB"/>
    <w:rsid w:val="00CF0898"/>
    <w:rsid w:val="00D75793"/>
    <w:rsid w:val="00E66C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2416"/>
  <w15:chartTrackingRefBased/>
  <w15:docId w15:val="{3C9F2568-B178-4F68-A8B9-54EA2D56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CB"/>
    <w:rPr>
      <w:rFonts w:eastAsiaTheme="majorEastAsia" w:cstheme="majorBidi"/>
      <w:color w:val="272727" w:themeColor="text1" w:themeTint="D8"/>
    </w:rPr>
  </w:style>
  <w:style w:type="paragraph" w:styleId="Title">
    <w:name w:val="Title"/>
    <w:basedOn w:val="Normal"/>
    <w:next w:val="Normal"/>
    <w:link w:val="TitleChar"/>
    <w:uiPriority w:val="10"/>
    <w:qFormat/>
    <w:rsid w:val="0090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CB"/>
    <w:pPr>
      <w:spacing w:before="160"/>
      <w:jc w:val="center"/>
    </w:pPr>
    <w:rPr>
      <w:i/>
      <w:iCs/>
      <w:color w:val="404040" w:themeColor="text1" w:themeTint="BF"/>
    </w:rPr>
  </w:style>
  <w:style w:type="character" w:customStyle="1" w:styleId="QuoteChar">
    <w:name w:val="Quote Char"/>
    <w:basedOn w:val="DefaultParagraphFont"/>
    <w:link w:val="Quote"/>
    <w:uiPriority w:val="29"/>
    <w:rsid w:val="009070CB"/>
    <w:rPr>
      <w:i/>
      <w:iCs/>
      <w:color w:val="404040" w:themeColor="text1" w:themeTint="BF"/>
    </w:rPr>
  </w:style>
  <w:style w:type="paragraph" w:styleId="ListParagraph">
    <w:name w:val="List Paragraph"/>
    <w:basedOn w:val="Normal"/>
    <w:uiPriority w:val="34"/>
    <w:qFormat/>
    <w:rsid w:val="009070CB"/>
    <w:pPr>
      <w:ind w:left="720"/>
      <w:contextualSpacing/>
    </w:pPr>
  </w:style>
  <w:style w:type="character" w:styleId="IntenseEmphasis">
    <w:name w:val="Intense Emphasis"/>
    <w:basedOn w:val="DefaultParagraphFont"/>
    <w:uiPriority w:val="21"/>
    <w:qFormat/>
    <w:rsid w:val="009070CB"/>
    <w:rPr>
      <w:i/>
      <w:iCs/>
      <w:color w:val="0F4761" w:themeColor="accent1" w:themeShade="BF"/>
    </w:rPr>
  </w:style>
  <w:style w:type="paragraph" w:styleId="IntenseQuote">
    <w:name w:val="Intense Quote"/>
    <w:basedOn w:val="Normal"/>
    <w:next w:val="Normal"/>
    <w:link w:val="IntenseQuoteChar"/>
    <w:uiPriority w:val="30"/>
    <w:qFormat/>
    <w:rsid w:val="0090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CB"/>
    <w:rPr>
      <w:i/>
      <w:iCs/>
      <w:color w:val="0F4761" w:themeColor="accent1" w:themeShade="BF"/>
    </w:rPr>
  </w:style>
  <w:style w:type="character" w:styleId="IntenseReference">
    <w:name w:val="Intense Reference"/>
    <w:basedOn w:val="DefaultParagraphFont"/>
    <w:uiPriority w:val="32"/>
    <w:qFormat/>
    <w:rsid w:val="009070CB"/>
    <w:rPr>
      <w:b/>
      <w:bCs/>
      <w:smallCaps/>
      <w:color w:val="0F4761" w:themeColor="accent1" w:themeShade="BF"/>
      <w:spacing w:val="5"/>
    </w:rPr>
  </w:style>
  <w:style w:type="paragraph" w:styleId="Header">
    <w:name w:val="header"/>
    <w:basedOn w:val="Normal"/>
    <w:link w:val="HeaderChar"/>
    <w:uiPriority w:val="99"/>
    <w:unhideWhenUsed/>
    <w:rsid w:val="00E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2026-10-15T17:12:00Z</dcterms:created>
  <dcterms:modified xsi:type="dcterms:W3CDTF">2026-10-15T18:13:00Z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3e9337f,3153acc0,705f7f45</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2026-10-15T18:13:15Z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86eae18f-e659-44eb-932f-3e6fa177d2ce</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