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7A54" w14:textId="77777777" w:rsidR="00345F93" w:rsidRDefault="00345F93" w:rsidP="00345F93">
      <w:r>
        <w:t>I am a cloud and platform engineer with over four years' experience operating, securing and automating enterprise AWS environments. Supported by an MSc in IT Security and AWS Cloud Practitioner and Solutions Architect Associate certifications, I currently support a multi-account AWS platform used by over 300 engineers at Santander. My experience spans platform operations, incident management, Infrastructure as Code, automation, compliance, cost optimisation and technical leadership. I am recognised for taking ownership of complex technical challenges, identifying root causes and delivering sustainable solutions that improve reliability, security and operational efficiency.</w:t>
      </w:r>
    </w:p>
    <w:p w14:paraId="71C0DFB9" w14:textId="77777777" w:rsidR="00345F93" w:rsidRDefault="00345F93" w:rsidP="00345F93"/>
    <w:p w14:paraId="0F53BC1D" w14:textId="77777777" w:rsidR="00345F93" w:rsidRDefault="00345F93" w:rsidP="00345F93">
      <w:r>
        <w:t>A strong example of my platform leadership was a large-scale EMR migration involving 64 production clusters owned by 15 engineering teams across 11 repositories. The migration had to be completed within a three-week regulatory deadline without disrupting business-critical workloads. As technical lead, I planned and coordinated the migration approach, assessed dependencies, sequenced implementation waves and mitigated operational risks. I collaborated with platform engineers, development teams and stakeholders to ensure shared S3 storage, metadata services and downstream processes remained stable throughout the transition. I authored Terraform implementation guidance, supported teams during delivery and acted as the escalation point for technical issues. The migration completed successfully within the required timeframe with no major production disruption, demonstrating my ability to lead complex infrastructure change while balancing risk, reliability and delivery commitments.</w:t>
      </w:r>
    </w:p>
    <w:p w14:paraId="1A645A69" w14:textId="77777777" w:rsidR="00345F93" w:rsidRDefault="00345F93" w:rsidP="00345F93"/>
    <w:p w14:paraId="16ED38A0" w14:textId="77777777" w:rsidR="00345F93" w:rsidRDefault="00345F93" w:rsidP="00345F93">
      <w:r>
        <w:t xml:space="preserve">Incident and problem management are key strengths. When a critical regulatory AWS Glue workload repeatedly failed with S3 throttling errors, I challenged the assumption that increasing retries would solve the problem. Through detailed analysis of workload metrics, execution logs and storage-access patterns, I identified excessive concurrent requests across 2,405 partitions as the root cause. Working with engineers and service owners, I redesigned the solution using push-down predicates, optimised retry logic, reduced unnecessary parallelism and recommended historical file compaction. The changes permanently removed recurring failures and improved service reliability. In another incident affecting over 1,500 metadata validation checks, I led six rounds of investigation across DynamoDB, Lake Formation and validation frameworks before identifying metadata hierarchy and case-sensitivity defects. I redesigned the validation process to prevent recurrence and strengthen governance. These examples demonstrate my analytical </w:t>
      </w:r>
      <w:proofErr w:type="gramStart"/>
      <w:r>
        <w:t>approach,</w:t>
      </w:r>
      <w:proofErr w:type="gramEnd"/>
      <w:r>
        <w:t xml:space="preserve"> effective decision making and focus on long-term operational improvements.</w:t>
      </w:r>
    </w:p>
    <w:p w14:paraId="25A21ABC" w14:textId="77777777" w:rsidR="00345F93" w:rsidRDefault="00345F93" w:rsidP="00345F93"/>
    <w:p w14:paraId="56E85225" w14:textId="77777777" w:rsidR="00345F93" w:rsidRDefault="00345F93" w:rsidP="00345F93">
      <w:r>
        <w:t xml:space="preserve">Infrastructure as Code forms a significant part of my role. I regularly use Terraform to maintain secure and consistent cloud infrastructure across multiple environments. When recurring Terraform state digest mismatches required engineers to access production environments manually, I identified both security and operational risks. I designed and implemented an automated remediation solution using </w:t>
      </w:r>
      <w:proofErr w:type="spellStart"/>
      <w:r>
        <w:t>EventBridge</w:t>
      </w:r>
      <w:proofErr w:type="spellEnd"/>
      <w:r>
        <w:t xml:space="preserve">, Python Lambda functions and SNS notifications. I developed automated tests using </w:t>
      </w:r>
      <w:proofErr w:type="spellStart"/>
      <w:r>
        <w:t>pytest</w:t>
      </w:r>
      <w:proofErr w:type="spellEnd"/>
      <w:r>
        <w:t xml:space="preserve"> and moto, introduced controlled approvals across development, pre-production and production environments, and oversaw production implementation. The solution removed the requirement for production console access, strengthened least-privilege controls and reduced operational overhead. I also resolved a complex deployment failure affecting multiple environments by tracing version conflicts through reusable workflow dependencies and correcting state corruption caused by concurrent executions, restoring deployment stability.</w:t>
      </w:r>
    </w:p>
    <w:p w14:paraId="29A449F5" w14:textId="77777777" w:rsidR="00345F93" w:rsidRDefault="00345F93" w:rsidP="00345F93"/>
    <w:p w14:paraId="1EB600CA" w14:textId="77777777" w:rsidR="00345F93" w:rsidRDefault="00345F93" w:rsidP="00345F93">
      <w:r>
        <w:t xml:space="preserve">Automation is where I deliver significant business value. A manual data-access process required approximately two hours per request and provided limited auditability. I designed and developed a </w:t>
      </w:r>
      <w:proofErr w:type="spellStart"/>
      <w:r>
        <w:t>FastAPI</w:t>
      </w:r>
      <w:proofErr w:type="spellEnd"/>
      <w:r>
        <w:t>-based automation tool that validates requests, processes Jira attachments and automatically creates pull requests via CI/CD pipelines. To secure stakeholder support, I produced an end-to-end proof of concept demonstrating the operational benefits. The solution reduced processing time from two hours to ten minutes while significantly improving governance, consistency and auditability. This reflects my commitment to reducing manual effort and improving service delivery through automation.</w:t>
      </w:r>
    </w:p>
    <w:p w14:paraId="4749157B" w14:textId="77777777" w:rsidR="00345F93" w:rsidRDefault="00345F93" w:rsidP="00345F93"/>
    <w:p w14:paraId="59C9F031" w14:textId="77777777" w:rsidR="00345F93" w:rsidRDefault="00345F93" w:rsidP="00345F93">
      <w:r>
        <w:t>I have also delivered improvements in monitoring, compliance and cloud cost management. To address inconsistent configuration standards across more than 100 EMR clusters, I developed an automated compliance agent that analyses CloudWatch metrics, identifies non-compliant resources and generates Jira tickets containing remediation guidance and Terraform fixes. The solution identified nine end-of-support clusters and fifty-five approaching end of support, reduced a manual weekly audit from up to five hours to approximately five minutes, and strengthened governance through automated escalation workflows. By proactively identifying operational, security and cost risks before they became incidents, I improved platform resilience, compliance and resource efficiency.</w:t>
      </w:r>
    </w:p>
    <w:p w14:paraId="33105FD8" w14:textId="77777777" w:rsidR="00345F93" w:rsidRDefault="00345F93" w:rsidP="00345F93"/>
    <w:p w14:paraId="1639A55B" w14:textId="77777777" w:rsidR="00345F93" w:rsidRDefault="00345F93" w:rsidP="00345F93">
      <w:r>
        <w:lastRenderedPageBreak/>
        <w:t>Alongside technical delivery, I actively develop others and contribute to a high-performing engineering culture. I mentor five colleagues through regular coaching sessions, support technical problem-solving, provide engineering guidance and share best practice across teams. I also created a documentation framework that became the standard for more than 300 engineers. Through mentoring, knowledge sharing and leading by example, I help build capability while promoting consistent engineering standards.</w:t>
      </w:r>
    </w:p>
    <w:p w14:paraId="3C895D44" w14:textId="77777777" w:rsidR="00345F93" w:rsidRDefault="00345F93" w:rsidP="00345F93"/>
    <w:p w14:paraId="6DB0CB59" w14:textId="7CCBBEEF" w:rsidR="007C1C76" w:rsidRDefault="00345F93" w:rsidP="00345F93">
      <w:r>
        <w:t>I promote EDI through inclusive technical discussions, accessible communication and constructive challenge. I would bring all nine Civil Service Behaviours and Integrity, Honesty, Objectivity and Impartiality, combining secure architecture, engineering excellence and collaborative leadership to deliver resilient, cost-effective data services and measurable public value.</w:t>
      </w:r>
    </w:p>
    <w:p w14:paraId="631C8427" w14:textId="77777777" w:rsidR="00345F93" w:rsidRDefault="00345F93" w:rsidP="00345F93"/>
    <w:p w14:paraId="5E949383" w14:textId="77777777" w:rsidR="00345F93" w:rsidRPr="00345F93" w:rsidRDefault="00345F93" w:rsidP="00345F93">
      <w:r w:rsidRPr="00345F93">
        <w:t>I have practical experience with monitoring, observability, configuration management, cloud cost optimisation and operational governance within a large-scale AWS environment. To improve platform visibility and compliance across more than 100 Amazon EMR clusters, I developed an automated compliance agent that queries a custom CloudWatch namespace, analyses cluster configuration data and identifies non-compliant resources. The solution automatically maps resources to their owners and generates Jira tickets containing remediation guidance and Terraform fixes. This improved observability across the platform, identified nine end-of-support clusters and fifty-five additional clusters approaching end of support, and reduced a manual audit process from up to five hours to approximately five minutes.</w:t>
      </w:r>
    </w:p>
    <w:p w14:paraId="04EBFC48" w14:textId="77777777" w:rsidR="00345F93" w:rsidRPr="00345F93" w:rsidRDefault="00345F93" w:rsidP="00345F93">
      <w:r w:rsidRPr="00345F93">
        <w:t xml:space="preserve">My experience with Infrastructure as Code has provided strong exposure to configuration management practices. I regularly use Terraform to deploy and maintain cloud infrastructure consistently across multiple environments, ensuring configuration drift is identified and remediated through automation. I also designed an event-driven solution using </w:t>
      </w:r>
      <w:proofErr w:type="spellStart"/>
      <w:r w:rsidRPr="00345F93">
        <w:t>EventBridge</w:t>
      </w:r>
      <w:proofErr w:type="spellEnd"/>
      <w:r w:rsidRPr="00345F93">
        <w:t>, Lambda and SNS to automatically resolve Terraform state issues, reducing manual intervention, improving operational resilience and strengthening governance controls.</w:t>
      </w:r>
    </w:p>
    <w:p w14:paraId="6C3A1B03" w14:textId="77777777" w:rsidR="00345F93" w:rsidRPr="00345F93" w:rsidRDefault="00345F93" w:rsidP="00345F93">
      <w:r w:rsidRPr="00345F93">
        <w:t>I have strong awareness of FinOps principles and cloud cost management. By analysing EMR cluster utilisation and idle-timeout settings, I identified opportunities to reduce unnecessary cloud expenditure and implemented automated reporting that highlighted resources operating outside agreed standards, enabling teams to optimise usage and improve cost efficiency.</w:t>
      </w:r>
    </w:p>
    <w:p w14:paraId="0C2B3F86" w14:textId="77777777" w:rsidR="00345F93" w:rsidRPr="00345F93" w:rsidRDefault="00345F93" w:rsidP="00345F93">
      <w:r w:rsidRPr="00345F93">
        <w:lastRenderedPageBreak/>
        <w:t>Professionally, I hold AWS Certified Cloud Practitioner and AWS Certified Solutions Architect Associate certifications, providing a strong foundation in cloud architecture, security, operations and cost optimisation. I am also familiar with ITIL service operation principles through incident management, problem management, change control, root-cause analysis, escalation management and continuous service improvement within production AWS platforms and environments.</w:t>
      </w:r>
    </w:p>
    <w:p w14:paraId="1337FF99" w14:textId="77777777" w:rsidR="00345F93" w:rsidRPr="00345F93" w:rsidRDefault="00345F93" w:rsidP="00345F93"/>
    <w:sectPr w:rsidR="00345F93" w:rsidRPr="00345F93">
      <w:headerReference w:type="even" r:id="rId6"/>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646F" w14:textId="77777777" w:rsidR="001B1A39" w:rsidRDefault="001B1A39" w:rsidP="00E64213">
      <w:pPr>
        <w:spacing w:after="0" w:line="240" w:lineRule="auto"/>
      </w:pPr>
      <w:r>
        <w:separator/>
      </w:r>
    </w:p>
  </w:endnote>
  <w:endnote w:type="continuationSeparator" w:id="0">
    <w:p w14:paraId="04367D3B" w14:textId="77777777" w:rsidR="001B1A39" w:rsidRDefault="001B1A39" w:rsidP="00E64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786D7" w14:textId="77777777" w:rsidR="001B1A39" w:rsidRDefault="001B1A39" w:rsidP="00E64213">
      <w:pPr>
        <w:spacing w:after="0" w:line="240" w:lineRule="auto"/>
      </w:pPr>
      <w:r>
        <w:separator/>
      </w:r>
    </w:p>
  </w:footnote>
  <w:footnote w:type="continuationSeparator" w:id="0">
    <w:p w14:paraId="3FFABCFC" w14:textId="77777777" w:rsidR="001B1A39" w:rsidRDefault="001B1A39" w:rsidP="00E64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27C9" w14:textId="2F36093B" w:rsidR="00E64213" w:rsidRDefault="00E64213">
    <w:pPr>
      <w:pStyle w:val="Header"/>
    </w:pPr>
    <w:r>
      <w:rPr>
        <w:noProof/>
      </w:rPr>
      <mc:AlternateContent>
        <mc:Choice Requires="wps">
          <w:drawing>
            <wp:anchor distT="0" distB="0" distL="0" distR="0" simplePos="0" relativeHeight="251659264" behindDoc="0" locked="0" layoutInCell="1" allowOverlap="1" wp14:anchorId="470CEB2F" wp14:editId="792749A7">
              <wp:simplePos x="635" y="635"/>
              <wp:positionH relativeFrom="page">
                <wp:align>left</wp:align>
              </wp:positionH>
              <wp:positionV relativeFrom="page">
                <wp:align>top</wp:align>
              </wp:positionV>
              <wp:extent cx="930275" cy="370205"/>
              <wp:effectExtent l="0" t="0" r="3175" b="10795"/>
              <wp:wrapNone/>
              <wp:docPr id="1999212874"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35685CF5" w14:textId="7FC3053B"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0CEB2F"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textbox style="mso-fit-shape-to-text:t" inset="20pt,15pt,0,0">
                <w:txbxContent>
                  <w:p w14:paraId="35685CF5" w14:textId="7FC3053B"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9881" w14:textId="3194BEBB" w:rsidR="00E64213" w:rsidRDefault="00E64213">
    <w:pPr>
      <w:pStyle w:val="Header"/>
    </w:pPr>
    <w:r>
      <w:rPr>
        <w:noProof/>
      </w:rPr>
      <mc:AlternateContent>
        <mc:Choice Requires="wps">
          <w:drawing>
            <wp:anchor distT="0" distB="0" distL="0" distR="0" simplePos="0" relativeHeight="251660288" behindDoc="0" locked="0" layoutInCell="1" allowOverlap="1" wp14:anchorId="3265E9AC" wp14:editId="602EAA9C">
              <wp:simplePos x="914400" y="449580"/>
              <wp:positionH relativeFrom="page">
                <wp:align>left</wp:align>
              </wp:positionH>
              <wp:positionV relativeFrom="page">
                <wp:align>top</wp:align>
              </wp:positionV>
              <wp:extent cx="930275" cy="370205"/>
              <wp:effectExtent l="0" t="0" r="3175" b="10795"/>
              <wp:wrapNone/>
              <wp:docPr id="1512825150"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35FB303" w14:textId="49634E89"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65E9AC"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textbox style="mso-fit-shape-to-text:t" inset="20pt,15pt,0,0">
                <w:txbxContent>
                  <w:p w14:paraId="435FB303" w14:textId="49634E89"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F7E4" w14:textId="4C97E5B2" w:rsidR="00E64213" w:rsidRDefault="00E64213">
    <w:pPr>
      <w:pStyle w:val="Header"/>
    </w:pPr>
    <w:r>
      <w:rPr>
        <w:noProof/>
      </w:rPr>
      <mc:AlternateContent>
        <mc:Choice Requires="wps">
          <w:drawing>
            <wp:anchor distT="0" distB="0" distL="0" distR="0" simplePos="0" relativeHeight="251658240" behindDoc="0" locked="0" layoutInCell="1" allowOverlap="1" wp14:anchorId="7A53BCAB" wp14:editId="0E4AFBC9">
              <wp:simplePos x="635" y="635"/>
              <wp:positionH relativeFrom="page">
                <wp:align>left</wp:align>
              </wp:positionH>
              <wp:positionV relativeFrom="page">
                <wp:align>top</wp:align>
              </wp:positionV>
              <wp:extent cx="930275" cy="370205"/>
              <wp:effectExtent l="0" t="0" r="3175" b="10795"/>
              <wp:wrapNone/>
              <wp:docPr id="1886496655"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5014170E" w14:textId="2DC55C3D"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53BCAB"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textbox style="mso-fit-shape-to-text:t" inset="20pt,15pt,0,0">
                <w:txbxContent>
                  <w:p w14:paraId="5014170E" w14:textId="2DC55C3D" w:rsidR="00E64213" w:rsidRPr="00E64213" w:rsidRDefault="00E64213" w:rsidP="00E64213">
                    <w:pPr>
                      <w:spacing w:after="0"/>
                      <w:rPr>
                        <w:rFonts w:ascii="Aptos" w:eastAsia="Aptos" w:hAnsi="Aptos" w:cs="Aptos"/>
                        <w:noProof/>
                        <w:color w:val="000000"/>
                        <w:sz w:val="20"/>
                        <w:szCs w:val="20"/>
                      </w:rPr>
                    </w:pPr>
                    <w:r w:rsidRPr="00E64213">
                      <w:rPr>
                        <w:rFonts w:ascii="Aptos" w:eastAsia="Aptos" w:hAnsi="Aptos" w:cs="Aptos"/>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13"/>
    <w:rsid w:val="00030710"/>
    <w:rsid w:val="001B1A39"/>
    <w:rsid w:val="002841DC"/>
    <w:rsid w:val="00345F93"/>
    <w:rsid w:val="007C1C76"/>
    <w:rsid w:val="00896D64"/>
    <w:rsid w:val="00963317"/>
    <w:rsid w:val="00E4673C"/>
    <w:rsid w:val="00E64213"/>
    <w:rsid w:val="00E80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7508"/>
  <w15:chartTrackingRefBased/>
  <w15:docId w15:val="{BADA9EF6-2CFD-4A9D-AB86-0925CDE7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13"/>
    <w:rPr>
      <w:rFonts w:eastAsiaTheme="majorEastAsia" w:cstheme="majorBidi"/>
      <w:color w:val="272727" w:themeColor="text1" w:themeTint="D8"/>
    </w:rPr>
  </w:style>
  <w:style w:type="paragraph" w:styleId="Title">
    <w:name w:val="Title"/>
    <w:basedOn w:val="Normal"/>
    <w:next w:val="Normal"/>
    <w:link w:val="TitleChar"/>
    <w:uiPriority w:val="10"/>
    <w:qFormat/>
    <w:rsid w:val="00E64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13"/>
    <w:pPr>
      <w:spacing w:before="160"/>
      <w:jc w:val="center"/>
    </w:pPr>
    <w:rPr>
      <w:i/>
      <w:iCs/>
      <w:color w:val="404040" w:themeColor="text1" w:themeTint="BF"/>
    </w:rPr>
  </w:style>
  <w:style w:type="character" w:customStyle="1" w:styleId="QuoteChar">
    <w:name w:val="Quote Char"/>
    <w:basedOn w:val="DefaultParagraphFont"/>
    <w:link w:val="Quote"/>
    <w:uiPriority w:val="29"/>
    <w:rsid w:val="00E64213"/>
    <w:rPr>
      <w:i/>
      <w:iCs/>
      <w:color w:val="404040" w:themeColor="text1" w:themeTint="BF"/>
    </w:rPr>
  </w:style>
  <w:style w:type="paragraph" w:styleId="ListParagraph">
    <w:name w:val="List Paragraph"/>
    <w:basedOn w:val="Normal"/>
    <w:uiPriority w:val="34"/>
    <w:qFormat/>
    <w:rsid w:val="00E64213"/>
    <w:pPr>
      <w:ind w:left="720"/>
      <w:contextualSpacing/>
    </w:pPr>
  </w:style>
  <w:style w:type="character" w:styleId="IntenseEmphasis">
    <w:name w:val="Intense Emphasis"/>
    <w:basedOn w:val="DefaultParagraphFont"/>
    <w:uiPriority w:val="21"/>
    <w:qFormat/>
    <w:rsid w:val="00E64213"/>
    <w:rPr>
      <w:i/>
      <w:iCs/>
      <w:color w:val="0F4761" w:themeColor="accent1" w:themeShade="BF"/>
    </w:rPr>
  </w:style>
  <w:style w:type="paragraph" w:styleId="IntenseQuote">
    <w:name w:val="Intense Quote"/>
    <w:basedOn w:val="Normal"/>
    <w:next w:val="Normal"/>
    <w:link w:val="IntenseQuoteChar"/>
    <w:uiPriority w:val="30"/>
    <w:qFormat/>
    <w:rsid w:val="00E64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13"/>
    <w:rPr>
      <w:i/>
      <w:iCs/>
      <w:color w:val="0F4761" w:themeColor="accent1" w:themeShade="BF"/>
    </w:rPr>
  </w:style>
  <w:style w:type="character" w:styleId="IntenseReference">
    <w:name w:val="Intense Reference"/>
    <w:basedOn w:val="DefaultParagraphFont"/>
    <w:uiPriority w:val="32"/>
    <w:qFormat/>
    <w:rsid w:val="00E64213"/>
    <w:rPr>
      <w:b/>
      <w:bCs/>
      <w:smallCaps/>
      <w:color w:val="0F4761" w:themeColor="accent1" w:themeShade="BF"/>
      <w:spacing w:val="5"/>
    </w:rPr>
  </w:style>
  <w:style w:type="paragraph" w:styleId="Header">
    <w:name w:val="header"/>
    <w:basedOn w:val="Normal"/>
    <w:link w:val="HeaderChar"/>
    <w:uiPriority w:val="99"/>
    <w:unhideWhenUsed/>
    <w:rsid w:val="00E64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4</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2</cp:revision>
  <dcterms:created xsi:type="dcterms:W3CDTF">2026-10-21T20:45:00Z</dcterms:created>
  <dcterms:modified xsi:type="dcterms:W3CDTF">2026-10-22T16:18:00Z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7071a78f,7729914a,5a2be13e</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2026-10-21T20:58:48Z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cc90ad26-3bbd-4af3-bb0e-dcfaca5f71d1</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