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8DEB" w14:textId="77777777" w:rsidR="00000000" w:rsidRDefault="00000000">
      <w:pPr>
        <w:widowControl w:val="0"/>
        <w:autoSpaceDE w:val="0"/>
        <w:autoSpaceDN w:val="0"/>
        <w:adjustRightInd w:val="0"/>
        <w:spacing w:after="0" w:line="240" w:lineRule="auto"/>
        <w:jc w:val="center"/>
        <w:rPr>
          <w:rFonts w:ascii="Arial" w:hAnsi="Arial" w:cs="Arial"/>
          <w:b/>
          <w:bCs/>
          <w:color w:val="003366"/>
          <w:kern w:val="0"/>
          <w:sz w:val="32"/>
          <w:szCs w:val="32"/>
        </w:rPr>
      </w:pPr>
      <w:r>
        <w:rPr>
          <w:rFonts w:ascii="Arial" w:hAnsi="Arial" w:cs="Arial"/>
          <w:b/>
          <w:bCs/>
          <w:color w:val="003366"/>
          <w:kern w:val="0"/>
          <w:sz w:val="32"/>
          <w:szCs w:val="32"/>
        </w:rPr>
        <w:t>STAR Interview Answers</w:t>
      </w:r>
    </w:p>
    <w:p w14:paraId="478A5F1D" w14:textId="77777777" w:rsidR="00000000" w:rsidRDefault="00000000">
      <w:pPr>
        <w:widowControl w:val="0"/>
        <w:autoSpaceDE w:val="0"/>
        <w:autoSpaceDN w:val="0"/>
        <w:adjustRightInd w:val="0"/>
        <w:spacing w:after="0" w:line="240" w:lineRule="auto"/>
        <w:jc w:val="center"/>
        <w:rPr>
          <w:rFonts w:ascii="Arial" w:hAnsi="Arial" w:cs="Arial"/>
          <w:b/>
          <w:bCs/>
          <w:kern w:val="0"/>
        </w:rPr>
      </w:pPr>
      <w:r>
        <w:rPr>
          <w:rFonts w:ascii="Arial" w:hAnsi="Arial" w:cs="Arial"/>
          <w:b/>
          <w:bCs/>
          <w:kern w:val="0"/>
        </w:rPr>
        <w:t>Power BI Developer (Data Engineer), Band 8a – Barts Health NHS Trust</w:t>
      </w:r>
    </w:p>
    <w:p w14:paraId="226FC75C" w14:textId="77777777" w:rsidR="00000000" w:rsidRDefault="00000000">
      <w:pPr>
        <w:widowControl w:val="0"/>
        <w:autoSpaceDE w:val="0"/>
        <w:autoSpaceDN w:val="0"/>
        <w:adjustRightInd w:val="0"/>
        <w:spacing w:after="0" w:line="240" w:lineRule="auto"/>
        <w:jc w:val="center"/>
        <w:rPr>
          <w:rFonts w:ascii="Arial" w:hAnsi="Arial" w:cs="Arial"/>
          <w:color w:val="5A5A5A"/>
          <w:kern w:val="0"/>
          <w:sz w:val="22"/>
          <w:szCs w:val="22"/>
        </w:rPr>
      </w:pPr>
      <w:r>
        <w:rPr>
          <w:rFonts w:ascii="Arial" w:hAnsi="Arial" w:cs="Arial"/>
          <w:color w:val="5A5A5A"/>
          <w:kern w:val="0"/>
          <w:sz w:val="22"/>
          <w:szCs w:val="22"/>
        </w:rPr>
        <w:t>Kolawole Paul Oshikoya | 07853 176 235 | pauloshikoya@gmail.com | linkedin.com/in/pauloshikoya</w:t>
      </w:r>
    </w:p>
    <w:p w14:paraId="353FD682"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6D151B01"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How to use this pack</w:t>
      </w:r>
    </w:p>
    <w:p w14:paraId="5DB9F72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Each answer uses only examples from your CV and supporting statement, so your interview matches your application. Each should take about two minutes to say. Practise out loud until it sounds like you talking, not reciting.</w:t>
      </w:r>
    </w:p>
    <w:p w14:paraId="424AEAA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Check before you practise:</w:t>
      </w:r>
      <w:r>
        <w:rPr>
          <w:rFonts w:ascii="Arial" w:hAnsi="Arial" w:cs="Arial"/>
          <w:kern w:val="0"/>
          <w:sz w:val="22"/>
          <w:szCs w:val="22"/>
        </w:rPr>
        <w:t xml:space="preserve"> items </w:t>
      </w:r>
      <w:r>
        <w:rPr>
          <w:rFonts w:ascii="Arial" w:hAnsi="Arial" w:cs="Arial"/>
          <w:kern w:val="0"/>
          <w:sz w:val="22"/>
          <w:szCs w:val="22"/>
          <w:highlight w:val="yellow"/>
        </w:rPr>
        <w:t>highlighted in yellow</w:t>
      </w:r>
      <w:r>
        <w:rPr>
          <w:rFonts w:ascii="Arial" w:hAnsi="Arial" w:cs="Arial"/>
          <w:kern w:val="0"/>
          <w:sz w:val="22"/>
          <w:szCs w:val="22"/>
        </w:rPr>
        <w:t xml:space="preserve"> rely on details marked "only if true" (row-level security with "View as" testing, accessibility practices, DAX time-intelligence measures, PL-300 study). If any did not happen as described, change the answer now. Panels probe these points.</w:t>
      </w:r>
    </w:p>
    <w:p w14:paraId="4F18186D"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6A6DE3B0" w14:textId="77777777" w:rsidR="00000000" w:rsidRDefault="00000000">
      <w:pPr>
        <w:widowControl w:val="0"/>
        <w:autoSpaceDE w:val="0"/>
        <w:autoSpaceDN w:val="0"/>
        <w:adjustRightInd w:val="0"/>
        <w:spacing w:after="0" w:line="240" w:lineRule="auto"/>
        <w:rPr>
          <w:rFonts w:ascii="Arial" w:hAnsi="Arial" w:cs="Arial"/>
          <w:b/>
          <w:bCs/>
          <w:color w:val="003366"/>
          <w:kern w:val="0"/>
          <w:sz w:val="28"/>
          <w:szCs w:val="28"/>
        </w:rPr>
      </w:pPr>
      <w:r>
        <w:rPr>
          <w:rFonts w:ascii="Arial" w:hAnsi="Arial" w:cs="Arial"/>
          <w:b/>
          <w:bCs/>
          <w:color w:val="003366"/>
          <w:kern w:val="0"/>
          <w:sz w:val="28"/>
          <w:szCs w:val="28"/>
        </w:rPr>
        <w:t>Essential criteria</w:t>
      </w:r>
    </w:p>
    <w:p w14:paraId="14C4CBD4"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1. Power BI reports, data modelling and DAX</w:t>
      </w:r>
    </w:p>
    <w:p w14:paraId="5CCC454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"Tell us about a Power BI solution you built, from the data model to the finished report."</w:t>
      </w:r>
    </w:p>
    <w:p w14:paraId="238A96A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As a Data Solution Analyst at Santander, the business needed reporting on lending performance, payment trends and customer activity. Different teams were calculating the same figures in different ways.</w:t>
      </w:r>
    </w:p>
    <w:p w14:paraId="16C240B0"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Build Power BI semantic models and measures that everyone could trust and that matched the approved banking definitions.</w:t>
      </w:r>
    </w:p>
    <w:p w14:paraId="3538665F"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profiled the source data in Informatica Data Quality first, so I knew where the gaps and anomalies were. I designed a star schema with clear fact and dimension tables and set up the relationships properly. I wrote DAX measures that followed the approved definitions </w:t>
      </w:r>
      <w:r>
        <w:rPr>
          <w:rFonts w:ascii="Arial" w:hAnsi="Arial" w:cs="Arial"/>
          <w:kern w:val="0"/>
          <w:sz w:val="22"/>
          <w:szCs w:val="22"/>
          <w:highlight w:val="yellow"/>
        </w:rPr>
        <w:t>[only if true: including month-on-month and year-to-date comparisons using CALCULATE]</w:t>
      </w:r>
      <w:r>
        <w:rPr>
          <w:rFonts w:ascii="Arial" w:hAnsi="Arial" w:cs="Arial"/>
          <w:kern w:val="0"/>
          <w:sz w:val="22"/>
          <w:szCs w:val="22"/>
        </w:rPr>
        <w:t>. Before choosing any visuals, I started with the decision each report had to support. During UAT I checked the report figures against the source data. Where performance was slow, I looked at execution plans and indexing and used incremental loading.</w:t>
      </w:r>
    </w:p>
    <w:p w14:paraId="4FBC1A76"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Every report measured lending, payments and customer activity the same way. The business signed off faster and there was less risk further down the line.</w:t>
      </w:r>
    </w:p>
    <w:p w14:paraId="7E4FF36F"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If they probe:</w:t>
      </w:r>
      <w:r>
        <w:rPr>
          <w:rFonts w:ascii="Arial" w:hAnsi="Arial" w:cs="Arial"/>
          <w:kern w:val="0"/>
          <w:sz w:val="22"/>
          <w:szCs w:val="22"/>
        </w:rPr>
        <w:t xml:space="preserve"> be ready to explain why you would use a star schema rather than one flat table (simpler DAX, better performance, a single version of the truth), and the difference between a calculated column and a measure.</w:t>
      </w:r>
    </w:p>
    <w:p w14:paraId="5C3AEFF8"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5C14E6AB"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2. Migrating reports or dashboards between BI platforms</w:t>
      </w:r>
    </w:p>
    <w:p w14:paraId="28E2055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"Describe a reporting migration you've been involved in. How did you make sure nothing was lost?"</w:t>
      </w:r>
    </w:p>
    <w:p w14:paraId="01F39E9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Santander was decommissioning a legacy platform. About 80 high-compute use cases built in CDSW and Plotly had to move to AWS and Power BI.</w:t>
      </w:r>
    </w:p>
    <w:p w14:paraId="7A16F0D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I led the readiness assessment and had to make sure users did not lose any figures they relied on.</w:t>
      </w:r>
    </w:p>
    <w:p w14:paraId="5D229C4F"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listed every use case, mapped its dependencies and traced each calculation back to its source tables. With each data owner, I agreed whether the use case would move fully, partly or in phases, using proof-of-concept demos and a decision tree. I made reconciliation a condition of sign-off, so new outputs had to match the old ones before anything was retired. In testing, we found mismatched customer records that would have affected payment reporting further down the line. I wrote a Python script to check identifiers, data types and record consistency, and held those datasets back until they passed.</w:t>
      </w:r>
    </w:p>
    <w:p w14:paraId="13D36DA0"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We had a migration route that could be audited, data quality issues were caught before go-live, and leadership could follow progress on a Power BI dashboard I built.</w:t>
      </w:r>
    </w:p>
    <w:p w14:paraId="31214E5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Link to Barts:</w:t>
      </w:r>
      <w:r>
        <w:rPr>
          <w:rFonts w:ascii="Arial" w:hAnsi="Arial" w:cs="Arial"/>
          <w:kern w:val="0"/>
          <w:sz w:val="22"/>
          <w:szCs w:val="22"/>
        </w:rPr>
        <w:t xml:space="preserve"> "I would take the same approach to your Qlik estate: list everything, cut what isn't needed, rebuild the rest and reconcile. That would include running Qlik and Power BI side by side, and comparing each dashboard against its Qlik version before Qlik is switched off."</w:t>
      </w:r>
    </w:p>
    <w:p w14:paraId="65C6664B"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074F4888"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lastRenderedPageBreak/>
        <w:t>3. Turning operational and clinical requirements into dashboard design</w:t>
      </w:r>
    </w:p>
    <w:p w14:paraId="079E317F"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"A divisional manager asks for a new dashboard. How would you approach it?"</w:t>
      </w:r>
    </w:p>
    <w:p w14:paraId="5ADD8F6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During the migration, leaders kept asking the same questions in meetings, and the answers were spread across spreadsheets and status updates.</w:t>
      </w:r>
    </w:p>
    <w:p w14:paraId="00D454F1"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Design a dashboard that answered those questions straight away.</w:t>
      </w:r>
    </w:p>
    <w:p w14:paraId="6CCB5D31"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wrote down the actual questions: how many use cases are ready, what is blocking the rest, and which tables are still outstanding. I designed the page backwards from those questions. Migration speed, dependencies and table-level status all went on one page, with the most important information first. </w:t>
      </w:r>
      <w:r>
        <w:rPr>
          <w:rFonts w:ascii="Arial" w:hAnsi="Arial" w:cs="Arial"/>
          <w:kern w:val="0"/>
          <w:sz w:val="22"/>
          <w:szCs w:val="22"/>
          <w:highlight w:val="yellow"/>
        </w:rPr>
        <w:t>I used plain-English labels, and colours that work for colour-blind users, rather than red and green alone. I also ask someone who hasn't seen a report to tell me what it shows. If they hesitate, I simplify it.</w:t>
      </w:r>
    </w:p>
    <w:p w14:paraId="50C3111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Leaders could see where things stood in seconds, and I spent less time answering status questions.</w:t>
      </w:r>
    </w:p>
    <w:p w14:paraId="66749C10"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Link to Barts:</w:t>
      </w:r>
      <w:r>
        <w:rPr>
          <w:rFonts w:ascii="Arial" w:hAnsi="Arial" w:cs="Arial"/>
          <w:kern w:val="0"/>
          <w:sz w:val="22"/>
          <w:szCs w:val="22"/>
        </w:rPr>
        <w:t xml:space="preserve"> "For something like elective waiting lists or bed occupancy, I would sit with the clinical or operational team first. I would want to know what decision they are making, how often, and what would make them act. Then I would design the dashboard around that, so a nurse in charge can glance at it between tasks."</w:t>
      </w:r>
    </w:p>
    <w:p w14:paraId="22940ECC"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25085AB0"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4. Working within a third-party delivery model</w:t>
      </w:r>
    </w:p>
    <w:p w14:paraId="4C8BDCB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"How would you work with the ANS Centre of Excellence while building in-house capability?"</w:t>
      </w:r>
    </w:p>
    <w:p w14:paraId="2C9F3CF6"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At Santander I regularly deliver work alongside contractors and partner teams. The largest example was converging 64 EMR clusters.</w:t>
      </w:r>
    </w:p>
    <w:p w14:paraId="73F27318"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As technical lead, I had to coordinate 15 teams across 11 repositories within a three-week phased window.</w:t>
      </w:r>
    </w:p>
    <w:p w14:paraId="373655BB"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agreed shared standards and the order of work at the start, and I reviewed contractors' pull requests. I ran technical walkthroughs so everyone understood the changes, and I raised risks and delays early rather than waiting for them to become problems.</w:t>
      </w:r>
    </w:p>
    <w:p w14:paraId="3A83C41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The convergence was delivered across all 15 teams within the phased window, and the documentation stayed with the internal teams.</w:t>
      </w:r>
    </w:p>
    <w:p w14:paraId="6C05B7E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Link to Barts:</w:t>
      </w:r>
      <w:r>
        <w:rPr>
          <w:rFonts w:ascii="Arial" w:hAnsi="Arial" w:cs="Arial"/>
          <w:kern w:val="0"/>
          <w:sz w:val="22"/>
          <w:szCs w:val="22"/>
        </w:rPr>
        <w:t xml:space="preserve"> "With ANS, I would shadow their specialists and learn from them, and agree development standards early. I would also document report logic and data lineage as I went, so that when the engagement ends, the skills and ownership stay within the Trust."</w:t>
      </w:r>
    </w:p>
    <w:p w14:paraId="326D4986"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25AA7877"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5. SQL and relational data structures</w:t>
      </w:r>
    </w:p>
    <w:p w14:paraId="17DC3E75"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"How do you use SQL to prepare data for reporting?"</w:t>
      </w:r>
    </w:p>
    <w:p w14:paraId="7754BE15"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As a Data Analyst at Santander, I needed to understand customer retention risk across savings, mortgage and current-account products.</w:t>
      </w:r>
    </w:p>
    <w:p w14:paraId="090D1296"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Bring together customer, transaction and digital-interaction data that lived in separate sources.</w:t>
      </w:r>
    </w:p>
    <w:p w14:paraId="558EA7C8"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used SQL joins to combine the sources into fact and dimension tables, and used SAS for cohort and statistical analysis. In my current Data Engineer role, I build star schemas in SQL using joins and CTEs, with source-to-target mappings and agreed business rules. When performance matters, I check execution plans and indexing.</w:t>
      </w:r>
    </w:p>
    <w:p w14:paraId="5CC792B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I presented the findings in Power BI. They showed where customers were at risk of leaving and guided targeted engagement.</w:t>
      </w:r>
    </w:p>
    <w:p w14:paraId="6F53BE35"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If they probe:</w:t>
      </w:r>
      <w:r>
        <w:rPr>
          <w:rFonts w:ascii="Arial" w:hAnsi="Arial" w:cs="Arial"/>
          <w:kern w:val="0"/>
          <w:sz w:val="22"/>
          <w:szCs w:val="22"/>
        </w:rPr>
        <w:t xml:space="preserve"> be ready to explain INNER vs LEFT joins, why you would use a CTE, how to find duplicate records, and window functions such as ROW_NUMBER.</w:t>
      </w:r>
    </w:p>
    <w:p w14:paraId="7AB4E7A5"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09279078"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6. Data governance, information security, row-level security and RBAC</w:t>
      </w:r>
    </w:p>
    <w:p w14:paraId="4DDDF1E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"How have you controlled who sees what data?"</w:t>
      </w:r>
    </w:p>
    <w:p w14:paraId="56953DF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Santander's multi-account data platform supports more than 300 engineers working with sensitive financial data.</w:t>
      </w:r>
    </w:p>
    <w:p w14:paraId="36774F40"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Design access control that meets GDPR, PCI DSS and BCBS 239.</w:t>
      </w:r>
    </w:p>
    <w:p w14:paraId="1A28234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designed and put into operation AWS Lake Formation tag-based access control (LF-Tags), classifying data at database, table and column level, and automated deployment through CI/CD. When validations failed without any error, I worked through six structured </w:t>
      </w:r>
      <w:r>
        <w:rPr>
          <w:rFonts w:ascii="Arial" w:hAnsi="Arial" w:cs="Arial"/>
          <w:kern w:val="0"/>
          <w:sz w:val="22"/>
          <w:szCs w:val="22"/>
        </w:rPr>
        <w:lastRenderedPageBreak/>
        <w:t xml:space="preserve">debugging cycles across DynamoDB, Lake Formation and the source code, and found the causes in the metadata hierarchy and in case-sensitivity. </w:t>
      </w:r>
      <w:r>
        <w:rPr>
          <w:rFonts w:ascii="Arial" w:hAnsi="Arial" w:cs="Arial"/>
          <w:kern w:val="0"/>
          <w:sz w:val="22"/>
          <w:szCs w:val="22"/>
          <w:highlight w:val="yellow"/>
        </w:rPr>
        <w:t>In Power BI, I set up role-based workspace access and row-level security, with roles defined by DAX filters, and tested each role with "View as" before release.</w:t>
      </w:r>
    </w:p>
    <w:p w14:paraId="10DDB97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Access control was enforced again, the fix was written up for the wider team, and each team saw only the records relevant to them.</w:t>
      </w:r>
    </w:p>
    <w:p w14:paraId="2520512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Link to Barts:</w:t>
      </w:r>
      <w:r>
        <w:rPr>
          <w:rFonts w:ascii="Arial" w:hAnsi="Arial" w:cs="Arial"/>
          <w:kern w:val="0"/>
          <w:sz w:val="22"/>
          <w:szCs w:val="22"/>
        </w:rPr>
        <w:t xml:space="preserve"> "At Barts, that means a ward manager, a divisional lead and a corporate analyst can open the same report and each see only the patient data they are entitled to. I would agree access with the Information Governance team and the information asset owners, in line with UK GDPR, the Caldicott Principles and the Data Security and Protection Toolkit."</w:t>
      </w:r>
    </w:p>
    <w:p w14:paraId="63D575D1"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0F15C56B"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7. Communication with non-technical stakeholders</w:t>
      </w:r>
    </w:p>
    <w:p w14:paraId="5143625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"Give an example of explaining something technical to a non-technical audience."</w:t>
      </w:r>
    </w:p>
    <w:p w14:paraId="211FFCCB"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During the migration, many data owners in Finance, Data Science and Risk were not technical, but they had to approve how their outputs would move.</w:t>
      </w:r>
    </w:p>
    <w:p w14:paraId="6331CE2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Help them make confident, evidence-based decisions without asking them to read code or architecture diagrams.</w:t>
      </w:r>
    </w:p>
    <w:p w14:paraId="08BDFF1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ran proof-of-concept demos using their own outputs, so they could see the result for themselves. I built a simple decision tree (full, partial or phased migration), and senior managers had the dashboard.</w:t>
      </w:r>
    </w:p>
    <w:p w14:paraId="7BF0D2A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Decisions were made faster, with fewer surprises at readiness reviews and a sign-off trail that could be audited.</w:t>
      </w:r>
    </w:p>
    <w:p w14:paraId="60CF1A3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Second example (if asked):</w:t>
      </w:r>
      <w:r>
        <w:rPr>
          <w:rFonts w:ascii="Arial" w:hAnsi="Arial" w:cs="Arial"/>
          <w:kern w:val="0"/>
          <w:sz w:val="22"/>
          <w:szCs w:val="22"/>
        </w:rPr>
        <w:t xml:space="preserve"> At Polaris Bank, I turned a customer segmentation analysis into a loyalty programme the sales team could act on, which helped grow revenue and the customer base by 20%. </w:t>
      </w:r>
      <w:r>
        <w:rPr>
          <w:rFonts w:ascii="Arial" w:hAnsi="Arial" w:cs="Arial"/>
          <w:i/>
          <w:iCs/>
          <w:kern w:val="0"/>
          <w:sz w:val="22"/>
          <w:szCs w:val="22"/>
        </w:rPr>
        <w:t>Be ready to say how the 20% was measured.</w:t>
      </w:r>
    </w:p>
    <w:p w14:paraId="042D115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Supporting evidence:</w:t>
      </w:r>
      <w:r>
        <w:rPr>
          <w:rFonts w:ascii="Arial" w:hAnsi="Arial" w:cs="Arial"/>
          <w:kern w:val="0"/>
          <w:sz w:val="22"/>
          <w:szCs w:val="22"/>
        </w:rPr>
        <w:t xml:space="preserve"> free three-month SQL bootcamp for 30+ professionals, We-Are-Group training and University of East London mentoring.</w:t>
      </w:r>
    </w:p>
    <w:p w14:paraId="4FFEDEEB"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7FBAAC91"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8. Self-motivated, managing a varied workload during organisational change</w:t>
      </w:r>
    </w:p>
    <w:p w14:paraId="377B36A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"Tell us about a time you improved something without being asked, while handling competing priorities."</w:t>
      </w:r>
    </w:p>
    <w:p w14:paraId="0CEC87C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Situation:</w:t>
      </w:r>
      <w:r>
        <w:rPr>
          <w:rFonts w:ascii="Arial" w:hAnsi="Arial" w:cs="Arial"/>
          <w:kern w:val="0"/>
          <w:sz w:val="22"/>
          <w:szCs w:val="22"/>
        </w:rPr>
        <w:t xml:space="preserve"> At Santander, each data-access request took about two hours, was done by hand and was hard to audit. The team was used to it.</w:t>
      </w:r>
    </w:p>
    <w:p w14:paraId="692282D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Task:</w:t>
      </w:r>
      <w:r>
        <w:rPr>
          <w:rFonts w:ascii="Arial" w:hAnsi="Arial" w:cs="Arial"/>
          <w:kern w:val="0"/>
          <w:sz w:val="22"/>
          <w:szCs w:val="22"/>
        </w:rPr>
        <w:t xml:space="preserve"> Nobody asked me to fix it, but I could see the cost and the risk.</w:t>
      </w:r>
    </w:p>
    <w:p w14:paraId="6C03256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Action:</w:t>
      </w:r>
      <w:r>
        <w:rPr>
          <w:rFonts w:ascii="Arial" w:hAnsi="Arial" w:cs="Arial"/>
          <w:kern w:val="0"/>
          <w:sz w:val="22"/>
          <w:szCs w:val="22"/>
        </w:rPr>
        <w:t xml:space="preserve"> I reviewed the process, talked to colleagues about where it was going wrong, and built a Python FastAPI tool that validated requests from Jira and raised pull requests automatically. Some colleagues were hesitant, so I ran a live end-to-end demo. I did all this alongside the legacy-platform decommissioning and the EMR convergence. To keep on top of it, I prioritised by risk and deadline and used sprint planning and backlog refinement to balance project work with production support.</w:t>
      </w:r>
    </w:p>
    <w:p w14:paraId="4FBE1D48"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Result:</w:t>
      </w:r>
      <w:r>
        <w:rPr>
          <w:rFonts w:ascii="Arial" w:hAnsi="Arial" w:cs="Arial"/>
          <w:kern w:val="0"/>
          <w:sz w:val="22"/>
          <w:szCs w:val="22"/>
        </w:rPr>
        <w:t xml:space="preserve"> Processing time fell from about two hours to about ten minutes, and I was invited to present the tool to the wider engineering community.</w:t>
      </w:r>
    </w:p>
    <w:p w14:paraId="4B763696"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1118F3C2" w14:textId="77777777" w:rsidR="00000000" w:rsidRDefault="00000000">
      <w:pPr>
        <w:widowControl w:val="0"/>
        <w:autoSpaceDE w:val="0"/>
        <w:autoSpaceDN w:val="0"/>
        <w:adjustRightInd w:val="0"/>
        <w:spacing w:after="0" w:line="240" w:lineRule="auto"/>
        <w:rPr>
          <w:rFonts w:ascii="Arial" w:hAnsi="Arial" w:cs="Arial"/>
          <w:b/>
          <w:bCs/>
          <w:color w:val="003366"/>
          <w:kern w:val="0"/>
          <w:sz w:val="28"/>
          <w:szCs w:val="28"/>
        </w:rPr>
      </w:pPr>
      <w:r>
        <w:rPr>
          <w:rFonts w:ascii="Arial" w:hAnsi="Arial" w:cs="Arial"/>
          <w:b/>
          <w:bCs/>
          <w:color w:val="003366"/>
          <w:kern w:val="0"/>
          <w:sz w:val="28"/>
          <w:szCs w:val="28"/>
        </w:rPr>
        <w:t>Desirable criteria</w:t>
      </w:r>
    </w:p>
    <w:p w14:paraId="054C1619"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9. Microsoft Fabric, OneLake or an equivalent platform</w:t>
      </w:r>
    </w:p>
    <w:p w14:paraId="52F86E8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Likely question: "What experience do you have of Fabric?"</w:t>
      </w:r>
      <w:r>
        <w:rPr>
          <w:rFonts w:ascii="Arial" w:hAnsi="Arial" w:cs="Arial"/>
          <w:kern w:val="0"/>
          <w:sz w:val="22"/>
          <w:szCs w:val="22"/>
        </w:rPr>
        <w:t xml:space="preserve"> Be honest, and show how your experience carries over.</w:t>
      </w:r>
    </w:p>
    <w:p w14:paraId="1FB5531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 haven't delivered production work in Fabric yet, but most of what I do maps directly onto it. I build lakehouse solutions on Azure, Databricks and Delta Lake, and OneLake uses the same open Delta format. I manage DEV, PRE and PROD releases with dry-run validation and 14 automated tests on my Terraform solution, which maps onto Fabric's deployment pipelines and separate workspaces. I also understand the trade-offs between Import, DirectQuery and Direct Lake for Power BI, which depend on data volume and how up to date the data needs to be."</w:t>
      </w:r>
    </w:p>
    <w:p w14:paraId="0A42551B"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2DC7B0EB"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10. Qlik or another BI platform</w:t>
      </w:r>
    </w:p>
    <w:p w14:paraId="60DB057B"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"My hands-on alternative-platform experience is Plotly and CDSW, plus SAS and SPSS for analysis. With Qlik, I understand that much of the logic sits in load scripts and the associative model. That's why I wouldn't just copy screens across. I would rebuild the logic as Power Query steps, model relationships and DAX measures, working with your existing Qlik developers, who know the history behind each report."</w:t>
      </w:r>
    </w:p>
    <w:p w14:paraId="4D6E1EEB"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14A4F20B"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11. NHS or complex public sector</w:t>
      </w:r>
    </w:p>
    <w:p w14:paraId="16E64D3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"My career has been in banking, which faces many of the same pressures as a large NHS trust: sensitive personal data, strict audit requirements, legacy systems and many stakeholders with competing needs. Volunteering as a Data Analyst on Help Close By's national app showed me how better reporting improves frontline services. What draws me to Barts is that the end user is a patient."</w:t>
      </w:r>
    </w:p>
    <w:p w14:paraId="1C2CF9D2"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0478A1AB" w14:textId="77777777" w:rsidR="00000000" w:rsidRDefault="00000000">
      <w:pPr>
        <w:widowControl w:val="0"/>
        <w:autoSpaceDE w:val="0"/>
        <w:autoSpaceDN w:val="0"/>
        <w:adjustRightInd w:val="0"/>
        <w:spacing w:after="0" w:line="240" w:lineRule="auto"/>
        <w:rPr>
          <w:rFonts w:ascii="Arial" w:hAnsi="Arial" w:cs="Arial"/>
          <w:b/>
          <w:bCs/>
          <w:color w:val="003366"/>
          <w:kern w:val="0"/>
        </w:rPr>
      </w:pPr>
      <w:r>
        <w:rPr>
          <w:rFonts w:ascii="Arial" w:hAnsi="Arial" w:cs="Arial"/>
          <w:b/>
          <w:bCs/>
          <w:color w:val="003366"/>
          <w:kern w:val="0"/>
        </w:rPr>
        <w:t>12. PL-300 or DP-600 certification</w:t>
      </w:r>
    </w:p>
    <w:p w14:paraId="22DECF5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highlight w:val="yellow"/>
        </w:rPr>
        <w:t>Only say you are studying for one if you genuinely are.</w:t>
      </w:r>
      <w:r>
        <w:rPr>
          <w:rFonts w:ascii="Arial" w:hAnsi="Arial" w:cs="Arial"/>
          <w:kern w:val="0"/>
          <w:sz w:val="22"/>
          <w:szCs w:val="22"/>
        </w:rPr>
        <w:t xml:space="preserve"> Otherwise say: "It's my next step. I plan to take PL-300 within my first six months."</w:t>
      </w:r>
    </w:p>
    <w:p w14:paraId="58C47174"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034141DE" w14:textId="77777777" w:rsidR="00000000" w:rsidRDefault="00000000">
      <w:pPr>
        <w:widowControl w:val="0"/>
        <w:autoSpaceDE w:val="0"/>
        <w:autoSpaceDN w:val="0"/>
        <w:adjustRightInd w:val="0"/>
        <w:spacing w:after="0" w:line="240" w:lineRule="auto"/>
        <w:rPr>
          <w:rFonts w:ascii="Arial" w:hAnsi="Arial" w:cs="Arial"/>
          <w:b/>
          <w:bCs/>
          <w:color w:val="003366"/>
          <w:kern w:val="0"/>
          <w:sz w:val="28"/>
          <w:szCs w:val="28"/>
        </w:rPr>
      </w:pPr>
      <w:r>
        <w:rPr>
          <w:rFonts w:ascii="Arial" w:hAnsi="Arial" w:cs="Arial"/>
          <w:b/>
          <w:bCs/>
          <w:color w:val="003366"/>
          <w:kern w:val="0"/>
          <w:sz w:val="28"/>
          <w:szCs w:val="28"/>
        </w:rPr>
        <w:t>Values question (very likely)</w:t>
      </w:r>
    </w:p>
    <w:p w14:paraId="7988832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"Which of our WeCare values means most to you, and why?"</w:t>
      </w:r>
    </w:p>
    <w:p w14:paraId="051BDD5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Choose one value and back it with an example. For instance, </w:t>
      </w:r>
      <w:r>
        <w:rPr>
          <w:rFonts w:ascii="Arial" w:hAnsi="Arial" w:cs="Arial"/>
          <w:b/>
          <w:bCs/>
          <w:kern w:val="0"/>
          <w:sz w:val="22"/>
          <w:szCs w:val="22"/>
        </w:rPr>
        <w:t>Accountable</w:t>
      </w:r>
      <w:r>
        <w:rPr>
          <w:rFonts w:ascii="Arial" w:hAnsi="Arial" w:cs="Arial"/>
          <w:kern w:val="0"/>
          <w:sz w:val="22"/>
          <w:szCs w:val="22"/>
        </w:rPr>
        <w:t>: when testing showed mismatched customer records, I held the datasets back until they passed validation, even though it put pressure on the timeline, because people further down the line depended on those figures.</w:t>
      </w:r>
    </w:p>
    <w:p w14:paraId="19071452" w14:textId="77777777" w:rsidR="00000000" w:rsidRDefault="00000000">
      <w:pPr>
        <w:widowControl w:val="0"/>
        <w:autoSpaceDE w:val="0"/>
        <w:autoSpaceDN w:val="0"/>
        <w:adjustRightInd w:val="0"/>
        <w:spacing w:after="0" w:line="240" w:lineRule="auto"/>
        <w:rPr>
          <w:rFonts w:ascii="Arial" w:hAnsi="Arial" w:cs="Arial"/>
          <w:kern w:val="0"/>
          <w:sz w:val="22"/>
          <w:szCs w:val="22"/>
        </w:rPr>
      </w:pPr>
    </w:p>
    <w:p w14:paraId="3FA34CBB" w14:textId="77777777" w:rsidR="00000000" w:rsidRDefault="00000000">
      <w:pPr>
        <w:widowControl w:val="0"/>
        <w:autoSpaceDE w:val="0"/>
        <w:autoSpaceDN w:val="0"/>
        <w:adjustRightInd w:val="0"/>
        <w:spacing w:after="0" w:line="240" w:lineRule="auto"/>
        <w:rPr>
          <w:rFonts w:ascii="Arial" w:hAnsi="Arial" w:cs="Arial"/>
          <w:b/>
          <w:bCs/>
          <w:color w:val="003366"/>
          <w:kern w:val="0"/>
          <w:sz w:val="28"/>
          <w:szCs w:val="28"/>
        </w:rPr>
      </w:pPr>
      <w:r>
        <w:rPr>
          <w:rFonts w:ascii="Arial" w:hAnsi="Arial" w:cs="Arial"/>
          <w:b/>
          <w:bCs/>
          <w:color w:val="003366"/>
          <w:kern w:val="0"/>
          <w:sz w:val="28"/>
          <w:szCs w:val="28"/>
        </w:rPr>
        <w:t>Delivery tips</w:t>
      </w:r>
    </w:p>
    <w:p w14:paraId="76C36B96" w14:textId="77777777" w:rsidR="00000000" w:rsidRDefault="00000000">
      <w:pPr>
        <w:widowControl w:val="0"/>
        <w:autoSpaceDE w:val="0"/>
        <w:autoSpaceDN w:val="0"/>
        <w:adjustRightInd w:val="0"/>
        <w:spacing w:after="0" w:line="240" w:lineRule="auto"/>
        <w:ind w:left="283" w:hanging="283"/>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ab/>
      </w:r>
      <w:r>
        <w:rPr>
          <w:rFonts w:ascii="Arial" w:hAnsi="Arial" w:cs="Arial"/>
          <w:b/>
          <w:bCs/>
          <w:kern w:val="0"/>
          <w:sz w:val="22"/>
          <w:szCs w:val="22"/>
        </w:rPr>
        <w:t>Say "I", not "we".</w:t>
      </w:r>
      <w:r>
        <w:rPr>
          <w:rFonts w:ascii="Arial" w:hAnsi="Arial" w:cs="Arial"/>
          <w:kern w:val="0"/>
          <w:sz w:val="22"/>
          <w:szCs w:val="22"/>
        </w:rPr>
        <w:t xml:space="preserve"> The panel is scoring what you did.</w:t>
      </w:r>
    </w:p>
    <w:p w14:paraId="42034889" w14:textId="77777777" w:rsidR="00000000" w:rsidRDefault="00000000">
      <w:pPr>
        <w:widowControl w:val="0"/>
        <w:autoSpaceDE w:val="0"/>
        <w:autoSpaceDN w:val="0"/>
        <w:adjustRightInd w:val="0"/>
        <w:spacing w:after="0" w:line="240" w:lineRule="auto"/>
        <w:ind w:left="283" w:hanging="283"/>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ab/>
      </w:r>
      <w:r>
        <w:rPr>
          <w:rFonts w:ascii="Arial" w:hAnsi="Arial" w:cs="Arial"/>
          <w:b/>
          <w:bCs/>
          <w:kern w:val="0"/>
          <w:sz w:val="22"/>
          <w:szCs w:val="22"/>
        </w:rPr>
        <w:t>Spend about 60% of each answer on the Action</w:t>
      </w:r>
      <w:r>
        <w:rPr>
          <w:rFonts w:ascii="Arial" w:hAnsi="Arial" w:cs="Arial"/>
          <w:kern w:val="0"/>
          <w:sz w:val="22"/>
          <w:szCs w:val="22"/>
        </w:rPr>
        <w:t>, and always finish with a result.</w:t>
      </w:r>
    </w:p>
    <w:p w14:paraId="1302911B" w14:textId="77777777" w:rsidR="00000000" w:rsidRDefault="00000000">
      <w:pPr>
        <w:widowControl w:val="0"/>
        <w:autoSpaceDE w:val="0"/>
        <w:autoSpaceDN w:val="0"/>
        <w:adjustRightInd w:val="0"/>
        <w:spacing w:after="0" w:line="240" w:lineRule="auto"/>
        <w:ind w:left="283" w:hanging="283"/>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ab/>
      </w:r>
      <w:r>
        <w:rPr>
          <w:rFonts w:ascii="Arial" w:hAnsi="Arial" w:cs="Arial"/>
          <w:b/>
          <w:bCs/>
          <w:kern w:val="0"/>
          <w:sz w:val="22"/>
          <w:szCs w:val="22"/>
        </w:rPr>
        <w:t>End each answer by linking it to Barts:</w:t>
      </w:r>
      <w:r>
        <w:rPr>
          <w:rFonts w:ascii="Arial" w:hAnsi="Arial" w:cs="Arial"/>
          <w:kern w:val="0"/>
          <w:sz w:val="22"/>
          <w:szCs w:val="22"/>
        </w:rPr>
        <w:t xml:space="preserve"> the Qlik estate, patients, the ANS partnership or the Power BI champions.</w:t>
      </w:r>
    </w:p>
    <w:p w14:paraId="64856A69" w14:textId="77777777" w:rsidR="009E6A40" w:rsidRDefault="00000000">
      <w:pPr>
        <w:widowControl w:val="0"/>
        <w:autoSpaceDE w:val="0"/>
        <w:autoSpaceDN w:val="0"/>
        <w:adjustRightInd w:val="0"/>
        <w:spacing w:after="0" w:line="240" w:lineRule="auto"/>
        <w:ind w:left="283" w:hanging="283"/>
        <w:rPr>
          <w:rFonts w:ascii="Arial" w:hAnsi="Arial" w:cs="Arial"/>
          <w:kern w:val="0"/>
          <w:sz w:val="22"/>
          <w:szCs w:val="22"/>
        </w:rPr>
      </w:pPr>
      <w:r>
        <w:rPr>
          <w:rFonts w:ascii="Arial" w:hAnsi="Arial" w:cs="Arial"/>
          <w:kern w:val="0"/>
          <w:sz w:val="22"/>
          <w:szCs w:val="22"/>
        </w:rPr>
        <w:t>•</w:t>
      </w:r>
      <w:r>
        <w:rPr>
          <w:rFonts w:ascii="Arial" w:hAnsi="Arial" w:cs="Arial"/>
          <w:kern w:val="0"/>
          <w:sz w:val="22"/>
          <w:szCs w:val="22"/>
        </w:rPr>
        <w:tab/>
      </w:r>
      <w:r>
        <w:rPr>
          <w:rFonts w:ascii="Arial" w:hAnsi="Arial" w:cs="Arial"/>
          <w:b/>
          <w:bCs/>
          <w:kern w:val="0"/>
          <w:sz w:val="22"/>
          <w:szCs w:val="22"/>
        </w:rPr>
        <w:t>Prepare two questions for the panel</w:t>
      </w:r>
      <w:r>
        <w:rPr>
          <w:rFonts w:ascii="Arial" w:hAnsi="Arial" w:cs="Arial"/>
          <w:kern w:val="0"/>
          <w:sz w:val="22"/>
          <w:szCs w:val="22"/>
        </w:rPr>
        <w:t>, for example: "How many Qlik apps are in scope, and how is the order of migration being decided?" and "How will the in-house team and ANS split responsibility after go-live?"</w:t>
      </w:r>
    </w:p>
    <w:sectPr w:rsidR="009E6A40">
      <w:headerReference w:type="even" r:id="rId6"/>
      <w:headerReference w:type="default" r:id="rId7"/>
      <w:headerReference w:type="first" r:id="rId8"/>
      <w:pgSz w:w="11906" w:h="16838"/>
      <w:pgMar w:top="1134" w:right="1247" w:bottom="1134" w:left="124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50EC" w14:textId="77777777" w:rsidR="009E6A40" w:rsidRDefault="009E6A40" w:rsidP="00464461">
      <w:pPr>
        <w:spacing w:after="0" w:line="240" w:lineRule="auto"/>
      </w:pPr>
      <w:r>
        <w:separator/>
      </w:r>
    </w:p>
  </w:endnote>
  <w:endnote w:type="continuationSeparator" w:id="0">
    <w:p w14:paraId="3CE13620" w14:textId="77777777" w:rsidR="009E6A40" w:rsidRDefault="009E6A40" w:rsidP="0046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35F1" w14:textId="77777777" w:rsidR="009E6A40" w:rsidRDefault="009E6A40" w:rsidP="00464461">
      <w:pPr>
        <w:spacing w:after="0" w:line="240" w:lineRule="auto"/>
      </w:pPr>
      <w:r>
        <w:separator/>
      </w:r>
    </w:p>
  </w:footnote>
  <w:footnote w:type="continuationSeparator" w:id="0">
    <w:p w14:paraId="3B648685" w14:textId="77777777" w:rsidR="009E6A40" w:rsidRDefault="009E6A40" w:rsidP="0046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D7C8" w14:textId="77777777" w:rsidR="00464461" w:rsidRDefault="00464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288C" w14:textId="77777777" w:rsidR="00464461" w:rsidRDefault="004644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9109" w14:textId="77777777" w:rsidR="00464461" w:rsidRDefault="004644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61"/>
    <w:rsid w:val="00464461"/>
    <w:rsid w:val="009E6A40"/>
    <w:rsid w:val="00DB3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BC2783"/>
  <w14:defaultImageDpi w14:val="0"/>
  <w15:docId w15:val="{4283D40C-8003-4E1D-B5EA-33C38BD93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4461"/>
    <w:pPr>
      <w:tabs>
        <w:tab w:val="center" w:pos="4513"/>
        <w:tab w:val="right" w:pos="9026"/>
      </w:tabs>
    </w:pPr>
  </w:style>
  <w:style w:type="character" w:customStyle="1" w:styleId="HeaderChar">
    <w:name w:val="Header Char"/>
    <w:basedOn w:val="DefaultParagraphFont"/>
    <w:link w:val="Header"/>
    <w:uiPriority w:val="99"/>
    <w:rsid w:val="00464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1990</Words>
  <Characters>11346</Characters>
  <Application>Microsoft Office Word</Application>
  <DocSecurity>0</DocSecurity>
  <Lines>94</Lines>
  <Paragraphs>26</Paragraphs>
  <ScaleCrop>false</ScaleCrop>
  <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2</cp:revision>
  <dcterms:created xsi:type="dcterms:W3CDTF">2026-10-15T12:18:00Z</dcterms:created>
  <dcterms:modified xsi:type="dcterms:W3CDTF">2026-10-15T12:18:00Z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1c091-3cbc-4dba-8b59-ce62f19500db_Enabled">
    <vt:lpwstr>true</vt:lpwstr>
  </property>
  <property fmtid="{D5CDD505-2E9C-101B-9397-08002B2CF9AE}" pid="3" name="MSIP_Label_3c41c091-3cbc-4dba-8b59-ce62f19500db_SetDate">
    <vt:lpwstr>2026-10-15T12:18:03Z</vt:lpwstr>
  </property>
  <property fmtid="{D5CDD505-2E9C-101B-9397-08002B2CF9AE}" pid="4" name="MSIP_Label_3c41c091-3cbc-4dba-8b59-ce62f19500db_Method">
    <vt:lpwstr>Privileged</vt:lpwstr>
  </property>
  <property fmtid="{D5CDD505-2E9C-101B-9397-08002B2CF9AE}" pid="5" name="MSIP_Label_3c41c091-3cbc-4dba-8b59-ce62f19500db_Name">
    <vt:lpwstr>Confidential_0_1</vt:lpwstr>
  </property>
  <property fmtid="{D5CDD505-2E9C-101B-9397-08002B2CF9AE}" pid="6" name="MSIP_Label_3c41c091-3cbc-4dba-8b59-ce62f19500db_SiteId">
    <vt:lpwstr>35595a02-4d6d-44ac-99e1-f9ab4cd872db</vt:lpwstr>
  </property>
  <property fmtid="{D5CDD505-2E9C-101B-9397-08002B2CF9AE}" pid="7" name="MSIP_Label_3c41c091-3cbc-4dba-8b59-ce62f19500db_ActionId">
    <vt:lpwstr>4f03043f-8a9c-4b04-8f22-e5eed1015512</vt:lpwstr>
  </property>
  <property fmtid="{D5CDD505-2E9C-101B-9397-08002B2CF9AE}" pid="8" name="MSIP_Label_3c41c091-3cbc-4dba-8b59-ce62f19500db_ContentBits">
    <vt:lpwstr>1</vt:lpwstr>
  </property>
  <property fmtid="{D5CDD505-2E9C-101B-9397-08002B2CF9AE}" pid="9" name="MSIP_Label_3c41c091-3cbc-4dba-8b59-ce62f19500db_Tag">
    <vt:lpwstr>10, 0, 1, 1</vt:lpwstr>
  </property>
</Properties>
</file>