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EA72" w14:textId="77777777" w:rsidR="007127C9" w:rsidRPr="007127C9" w:rsidRDefault="007127C9" w:rsidP="007127C9">
      <w:pPr>
        <w:jc w:val="both"/>
      </w:pPr>
      <w:r w:rsidRPr="007127C9">
        <w:t>I am an experienced Data Engineer and Solutions Architect with an MSc IT Security, BSc Physics, AWS Certified Cloud Practitioner and AWS Solutions Architect Associate credentials, combining data engineering, cloud architecture, cybersecurity and analytical problem-solving. I am applying for this role because Barts Health's move from Qlik to Microsoft Fabric and Power BI closely mirrors work I have already led: I have helped move reporting off legacy platforms into Power BI, built semantic models and DAX measures, and made sure data quality and governance moved with the data. I share Barts Health's WeCare values of being welcoming, engaged, caring, accountable, respectful and equitable, and I would bring them to building reliable data services that enable informed decisions, efficient operations and better outcomes for patients.</w:t>
      </w:r>
    </w:p>
    <w:p w14:paraId="2488DAC7" w14:textId="77777777" w:rsidR="007127C9" w:rsidRPr="007127C9" w:rsidRDefault="007127C9" w:rsidP="007127C9">
      <w:pPr>
        <w:jc w:val="both"/>
      </w:pPr>
      <w:r w:rsidRPr="007127C9">
        <w:t>As Data Engineer at Santander, I design and maintain ETL/ELT pipelines using Python and SQL, integrating customer, account, lending and payment data into trusted datasets. I engineer Azure, Databricks and Delta Lake lakehouse solutions. Because Microsoft Fabric's OneLake is also built on Delta-format storage, this experience carries over directly to the platform Barts is adopting. I create dimensional models, reusable data products and curated layers using source-to-target mappings and controlled business rules. I build these as star schemas with clear fact and dimension tables, written in SQL using joins and CTEs, so they work cleanly as Power BI semantic models and give everyone using a report the same version of the truth.</w:t>
      </w:r>
    </w:p>
    <w:p w14:paraId="313DC316" w14:textId="77777777" w:rsidR="007127C9" w:rsidRPr="007127C9" w:rsidRDefault="007127C9" w:rsidP="007127C9">
      <w:pPr>
        <w:jc w:val="both"/>
      </w:pPr>
      <w:r w:rsidRPr="007127C9">
        <w:t>In Santander's strategic legacy-platform decommissioning and AWS/Power BI migration, I led readiness assessment for approximately 80 high-compute use cases, mapping dependencies and evaluating migration to AWS and Power BI. This was a reporting migration as much as a cloud one. Outputs built in Plotly and CDSW had to move into Power BI without users losing figures they relied on. I inventoried each use case, traced its calculations back to source tables and agreed with data owners whether it would migrate fully, partially or in phases. I made data reconciliation a sign-off condition, so new outputs had to match the old ones before anything was retired. When testing revealed mismatched customer records that would have affected downstream payment reporting, I wrote a Python validation script to check identifiers, data types and record consistency, and held the datasets back until they passed. I also developed a Power BI dashboard for leadership oversight. I designed it around the questions leaders kept asking: how many use cases are ready, what is blocking the rest and which tables are outstanding. It showed migration velocity, dependencies and table-level status on a single page.</w:t>
      </w:r>
    </w:p>
    <w:p w14:paraId="2971DEB6" w14:textId="77777777" w:rsidR="007127C9" w:rsidRPr="007127C9" w:rsidRDefault="007127C9" w:rsidP="007127C9">
      <w:pPr>
        <w:jc w:val="both"/>
      </w:pPr>
      <w:r w:rsidRPr="007127C9">
        <w:t xml:space="preserve">I would take the same inventory, rationalise, rebuild and reconcile approach to Barts' Qlik estate. Qlik keeps much of its logic in load scripts and its associative model, so rather than copying old screens, I would rebuild that logic properly as Power Query steps, model relationships and DAX measures, and validate each dashboard against its Qlik output during parallel running. Working closely with report owners and the existing Qlik </w:t>
      </w:r>
      <w:r w:rsidRPr="007127C9">
        <w:lastRenderedPageBreak/>
        <w:t>developers, I would make sure no clinical or operational team loses a figure they depend on before Qlik is decommissioned.</w:t>
      </w:r>
    </w:p>
    <w:p w14:paraId="1079BD0B" w14:textId="4328DE89" w:rsidR="007127C9" w:rsidRPr="007127C9" w:rsidRDefault="007127C9" w:rsidP="007127C9">
      <w:pPr>
        <w:jc w:val="both"/>
      </w:pPr>
      <w:r w:rsidRPr="007127C9">
        <w:t>Earlier, as Data Solution Analyst at Santander, I profiled datasets with Informatica Data Quality, documented field mappings and built Power BI semantic models and DAX measures. I aligned model relationships and calculation logic with approved banking definitions, so lending performance, payment trends and customer activity were measured the same way in every report.</w:t>
      </w:r>
      <w:r>
        <w:t xml:space="preserve"> </w:t>
      </w:r>
      <w:r w:rsidRPr="007127C9">
        <w:t>This included time-intelligence measures such as month-on-month and year-to-date comparisons using CALCULATE. I started from the decision each report needed to support, worked back to the measures and visuals needed, and then checked report figures against source data during UAT. I coordinated requirements traceability and Jira defect management, and improved performance using execution plans, indexing and incremental loading. At Barts, I would begin the same way, sitting with clinical and operational teams to understand the decisions they make every da</w:t>
      </w:r>
      <w:r>
        <w:t>y.</w:t>
      </w:r>
    </w:p>
    <w:p w14:paraId="29560911" w14:textId="70F46589" w:rsidR="007127C9" w:rsidRPr="007127C9" w:rsidRDefault="007127C9" w:rsidP="007127C9">
      <w:pPr>
        <w:jc w:val="both"/>
      </w:pPr>
      <w:r w:rsidRPr="007127C9">
        <w:t xml:space="preserve">As Data Analyst at Santander, I used SAS and SQL joins to integrate customer, transaction and digital-interaction data into fact and dimension </w:t>
      </w:r>
      <w:r w:rsidRPr="007127C9">
        <w:t>tables and</w:t>
      </w:r>
      <w:r w:rsidRPr="007127C9">
        <w:t xml:space="preserve"> presented findings in Power BI to highlight retention risks and inform targeted engagement.</w:t>
      </w:r>
    </w:p>
    <w:p w14:paraId="64A6A23F" w14:textId="77777777" w:rsidR="007127C9" w:rsidRPr="007127C9" w:rsidRDefault="007127C9" w:rsidP="007127C9">
      <w:pPr>
        <w:jc w:val="both"/>
      </w:pPr>
      <w:r w:rsidRPr="007127C9">
        <w:t>I embed data governance, security and regulatory compliance into architecture. To me, protecting people's information is part of the design from day one, not a check at the end. At Santander, I designed and operationalised AWS Lake Formation LF-Tag-based access control across a multi-account platform supporting 300+ engineers, classifying data at database, table and column level in line with GDPR. I bring the same principles into Power BI. On the semantic models I built as a Data Solution Analyst, I set up role-based workspace access and row-level security, defining roles with DAX filters so each team saw only the customer and account records relevant to them, and testing every role using "View as" before release. At Barts, this would mean a ward manager, a divisional lead and a corporate analyst can open the same report and each see only the patient data they are entitled to. I understand this sits within UK GDPR, the Caldicott Principles and the Data Security and Protection Toolkit, and I would work with the Information Governance team and information asset owners to agree access.</w:t>
      </w:r>
    </w:p>
    <w:p w14:paraId="67AB3941" w14:textId="77777777" w:rsidR="007127C9" w:rsidRPr="007127C9" w:rsidRDefault="007127C9" w:rsidP="007127C9">
      <w:pPr>
        <w:jc w:val="both"/>
      </w:pPr>
      <w:r w:rsidRPr="007127C9">
        <w:t>At Santander, I built a self-healing Terraform solution with 14 automated unit tests and phased DEV, PRE and PROD deployment with dry-run validation. I would bring the same controlled release discipline to Power BI and Fabric through separate development, test and production workspaces and deployment pipelines. I would also provide first-line support for Power BI reports, tracing issues to their root cause and escalating platform-level problems to the managed service with clear evidence.</w:t>
      </w:r>
    </w:p>
    <w:p w14:paraId="2EC061CF" w14:textId="77777777" w:rsidR="007127C9" w:rsidRPr="007127C9" w:rsidRDefault="007127C9" w:rsidP="007127C9">
      <w:pPr>
        <w:jc w:val="both"/>
      </w:pPr>
      <w:r w:rsidRPr="007127C9">
        <w:t xml:space="preserve">I am used to delivering alongside contractors and partner teams. I review contractors' pull requests and run technical walkthroughs, and as technical lead for the convergence </w:t>
      </w:r>
      <w:r w:rsidRPr="007127C9">
        <w:lastRenderedPageBreak/>
        <w:t>of 64 EMR clusters, I coordinated 15 teams across 11 repositories within a three-week phased window. I would work with the ANS Centre of Excellence in the same way: shadowing and learning from their expertise, agreeing shared standards early and documenting report logic and data lineage, so that skills and ownership stay within the Trust when the engagement ends.</w:t>
      </w:r>
    </w:p>
    <w:p w14:paraId="25750AF5" w14:textId="0BD1187E" w:rsidR="007127C9" w:rsidRPr="007127C9" w:rsidRDefault="007127C9" w:rsidP="007127C9">
      <w:pPr>
        <w:jc w:val="both"/>
      </w:pPr>
      <w:r w:rsidRPr="007127C9">
        <w:t>Beyond engineering, I enjoy explaining technical ideas in plain language and developing others. During the legacy-platform migration, many of the data owners I worked with in Finance, Data Science and Risk were not technical. Rather than asking them to review code or architecture diagrams, I ran Proof-of-Concept demonstrations using their own outputs and built a simple decision tree, so they could choose the right migration route with confidence. The leadership dashboard did the same for senior managers. Earlier, a</w:t>
      </w:r>
      <w:r>
        <w:t>s a customer insight analyst</w:t>
      </w:r>
      <w:r w:rsidRPr="007127C9">
        <w:t xml:space="preserve">, I turned customer segmentation analysis into a loyalty programme the sales team could act on, helping grow revenue and the customer base by 20%. I also </w:t>
      </w:r>
      <w:r>
        <w:t>ran a</w:t>
      </w:r>
      <w:r w:rsidRPr="007127C9">
        <w:t xml:space="preserve"> free three-month SQL bootcamp for over 30 professionals, trained career-changers at We-Are-Group and help</w:t>
      </w:r>
      <w:r>
        <w:t xml:space="preserve">ed </w:t>
      </w:r>
      <w:r w:rsidRPr="007127C9">
        <w:t>University of East London students build SQL and Power BI skills. I would bring this to Barts through training materials, templates and support for Power BI champions across operational teams.</w:t>
      </w:r>
    </w:p>
    <w:p w14:paraId="16321ACB" w14:textId="2A34C808" w:rsidR="007127C9" w:rsidRPr="007127C9" w:rsidRDefault="007127C9" w:rsidP="007127C9">
      <w:pPr>
        <w:jc w:val="both"/>
      </w:pPr>
      <w:r w:rsidRPr="007127C9">
        <w:t>I promote EDI through accessible communication, inclusive technical discussions and respect for different perspectives, and I bring the same thinking to every dashboard I build. On the leadership migration dashboard and my Data Solution Analyst reports, I replaced technical field names with plain-English labels, used colour-blind-safe palette</w:t>
      </w:r>
      <w:r>
        <w:t>s</w:t>
      </w:r>
      <w:r w:rsidRPr="007127C9">
        <w:t>, and added alt text for screen-reader users. Before releasing a report, I ask a colleague who hasn't seen it to tell me what it shows. If they hesitate, I simplify it. At Barts, I would keep these habits so that a nurse in charge checking bed state between tasks, or a service manager reviewing waiting lists, can see what needs attention straight away.</w:t>
      </w:r>
    </w:p>
    <w:p w14:paraId="1B3AA3A8" w14:textId="12F55F2F" w:rsidR="007127C9" w:rsidRPr="007127C9" w:rsidRDefault="007127C9" w:rsidP="007127C9">
      <w:pPr>
        <w:jc w:val="both"/>
      </w:pPr>
      <w:r w:rsidRPr="007127C9">
        <w:t xml:space="preserve">I am self-motivated and used to delivering through organisational change. At Santander, I noticed that data-access requests were taking around two hours each and were difficult to audit. Although the team was used to this way of working, I reviewed the process and built a Python FastAPI tool that validated requests from Jira and raised pull requests automatically. Some colleagues were hesitant, so I ran a live end-to-end demonstration; processing fell to about ten </w:t>
      </w:r>
      <w:r w:rsidRPr="007127C9">
        <w:t>minutes,</w:t>
      </w:r>
      <w:r w:rsidRPr="007127C9">
        <w:t xml:space="preserve"> and I was invited to present it to the wider engineering community. I did this alongside the legacy-platform decommissioning and the convergence of 64 EMR clusters. I kept this varied workload on track by prioritising by risk and deadline, using sprint planning and backlog refinement to balance project delivery with production support, and flagging delays early.</w:t>
      </w:r>
    </w:p>
    <w:p w14:paraId="33A52991" w14:textId="77777777" w:rsidR="007127C9" w:rsidRPr="007127C9" w:rsidRDefault="007127C9" w:rsidP="007127C9">
      <w:pPr>
        <w:jc w:val="both"/>
      </w:pPr>
      <w:r w:rsidRPr="007127C9">
        <w:t xml:space="preserve">Although my career has been in banking, it is a large, highly regulated organisation facing many of the same pressures as an NHS trust: sensitive personal data, strict audit requirements, legacy systems and many stakeholders with competing needs. Volunteering as a Data Analyst on Help Close By's national app showed me first-hand </w:t>
      </w:r>
      <w:r w:rsidRPr="007127C9">
        <w:lastRenderedPageBreak/>
        <w:t>how better reporting improves frontline services. I would bring this resilience and collaborative approach to helping Barts build trusted, sustainable Power BI and Fabric capability for staff and patients.</w:t>
      </w:r>
    </w:p>
    <w:p w14:paraId="623868BB" w14:textId="77777777" w:rsidR="007127C9" w:rsidRPr="007127C9" w:rsidRDefault="007127C9" w:rsidP="007127C9">
      <w:r w:rsidRPr="007127C9">
        <w:br/>
      </w:r>
    </w:p>
    <w:p w14:paraId="41F77F8A" w14:textId="77777777" w:rsidR="007C1C76" w:rsidRDefault="007C1C76"/>
    <w:sectPr w:rsidR="007C1C76">
      <w:headerReference w:type="even" r:id="rId6"/>
      <w:headerReference w:type="default" r:id="rId7"/>
      <w:head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D86A8" w14:textId="77777777" w:rsidR="00363308" w:rsidRDefault="00363308" w:rsidP="006C48B4">
      <w:pPr>
        <w:spacing w:after="0" w:line="240" w:lineRule="auto"/>
      </w:pPr>
      <w:r>
        <w:separator/>
      </w:r>
    </w:p>
  </w:endnote>
  <w:endnote w:type="continuationSeparator" w:id="0">
    <w:p w14:paraId="418081A5" w14:textId="77777777" w:rsidR="00363308" w:rsidRDefault="00363308" w:rsidP="006C4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40932" w14:textId="77777777" w:rsidR="00363308" w:rsidRDefault="00363308" w:rsidP="006C48B4">
      <w:pPr>
        <w:spacing w:after="0" w:line="240" w:lineRule="auto"/>
      </w:pPr>
      <w:r>
        <w:separator/>
      </w:r>
    </w:p>
  </w:footnote>
  <w:footnote w:type="continuationSeparator" w:id="0">
    <w:p w14:paraId="1E1A2782" w14:textId="77777777" w:rsidR="00363308" w:rsidRDefault="00363308" w:rsidP="006C4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03A17" w14:textId="08CB31DF" w:rsidR="006C48B4" w:rsidRDefault="006C48B4">
    <w:pPr>
      <w:pStyle w:val="Header"/>
    </w:pPr>
    <w:r>
      <w:rPr>
        <w:noProof/>
      </w:rPr>
      <mc:AlternateContent>
        <mc:Choice Requires="wps">
          <w:drawing>
            <wp:anchor distT="0" distB="0" distL="0" distR="0" simplePos="0" relativeHeight="251659264" behindDoc="0" locked="0" layoutInCell="1" allowOverlap="1" wp14:anchorId="7644E318" wp14:editId="70B56A2B">
              <wp:simplePos x="635" y="635"/>
              <wp:positionH relativeFrom="page">
                <wp:align>left</wp:align>
              </wp:positionH>
              <wp:positionV relativeFrom="page">
                <wp:align>top</wp:align>
              </wp:positionV>
              <wp:extent cx="930275" cy="370205"/>
              <wp:effectExtent l="0" t="0" r="3175" b="10795"/>
              <wp:wrapNone/>
              <wp:docPr id="1389766721"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00292614" w14:textId="45A6755A" w:rsidR="006C48B4" w:rsidRPr="006C48B4" w:rsidRDefault="006C48B4" w:rsidP="006C48B4">
                          <w:pPr>
                            <w:spacing w:after="0"/>
                            <w:rPr>
                              <w:rFonts w:ascii="Aptos" w:eastAsia="Aptos" w:hAnsi="Aptos" w:cs="Aptos"/>
                              <w:noProof/>
                              <w:color w:val="000000"/>
                              <w:sz w:val="20"/>
                              <w:szCs w:val="20"/>
                            </w:rPr>
                          </w:pPr>
                          <w:r w:rsidRPr="006C48B4">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644E318" id="_x0000_t202" coordsize="21600,21600" o:spt="202" path="m,l,21600r21600,l21600,xe">
              <v:stroke joinstyle="miter"/>
              <v:path gradientshapeok="t" o:connecttype="rect"/>
            </v:shapetype>
            <v:shape id="Text Box 2" o:spid="_x0000_s1026" type="#_x0000_t202" alt="Confidential" style="position:absolute;margin-left:0;margin-top:0;width:73.2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" filled="f" stroked="f">
              <v:fill o:detectmouseclick="t"/>
              <v:textbox style="mso-fit-shape-to-text:t" inset="20pt,15pt,0,0">
                <w:txbxContent>
                  <w:p w14:paraId="00292614" w14:textId="45A6755A" w:rsidR="006C48B4" w:rsidRPr="006C48B4" w:rsidRDefault="006C48B4" w:rsidP="006C48B4">
                    <w:pPr>
                      <w:spacing w:after="0"/>
                      <w:rPr>
                        <w:rFonts w:ascii="Aptos" w:eastAsia="Aptos" w:hAnsi="Aptos" w:cs="Aptos"/>
                        <w:noProof/>
                        <w:color w:val="000000"/>
                        <w:sz w:val="20"/>
                        <w:szCs w:val="20"/>
                      </w:rPr>
                    </w:pPr>
                    <w:r w:rsidRPr="006C48B4">
                      <w:rPr>
                        <w:rFonts w:ascii="Aptos" w:eastAsia="Aptos" w:hAnsi="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398F5" w14:textId="54D7B84D" w:rsidR="006C48B4" w:rsidRDefault="006C48B4">
    <w:pPr>
      <w:pStyle w:val="Header"/>
    </w:pPr>
    <w:r>
      <w:rPr>
        <w:noProof/>
      </w:rPr>
      <mc:AlternateContent>
        <mc:Choice Requires="wps">
          <w:drawing>
            <wp:anchor distT="0" distB="0" distL="0" distR="0" simplePos="0" relativeHeight="251660288" behindDoc="0" locked="0" layoutInCell="1" allowOverlap="1" wp14:anchorId="72C64A7F" wp14:editId="786BB441">
              <wp:simplePos x="914400" y="449580"/>
              <wp:positionH relativeFrom="page">
                <wp:align>left</wp:align>
              </wp:positionH>
              <wp:positionV relativeFrom="page">
                <wp:align>top</wp:align>
              </wp:positionV>
              <wp:extent cx="930275" cy="370205"/>
              <wp:effectExtent l="0" t="0" r="3175" b="10795"/>
              <wp:wrapNone/>
              <wp:docPr id="2060325817"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05AA0E26" w14:textId="67ED8BC3" w:rsidR="006C48B4" w:rsidRPr="006C48B4" w:rsidRDefault="006C48B4" w:rsidP="006C48B4">
                          <w:pPr>
                            <w:spacing w:after="0"/>
                            <w:rPr>
                              <w:rFonts w:ascii="Aptos" w:eastAsia="Aptos" w:hAnsi="Aptos" w:cs="Aptos"/>
                              <w:noProof/>
                              <w:color w:val="000000"/>
                              <w:sz w:val="20"/>
                              <w:szCs w:val="20"/>
                            </w:rPr>
                          </w:pPr>
                          <w:r w:rsidRPr="006C48B4">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2C64A7F" id="_x0000_t202" coordsize="21600,21600" o:spt="202" path="m,l,21600r21600,l21600,xe">
              <v:stroke joinstyle="miter"/>
              <v:path gradientshapeok="t" o:connecttype="rect"/>
            </v:shapetype>
            <v:shape id="Text Box 3" o:spid="_x0000_s1027" type="#_x0000_t202" alt="Confidential" style="position:absolute;margin-left:0;margin-top:0;width:73.2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" filled="f" stroked="f">
              <v:fill o:detectmouseclick="t"/>
              <v:textbox style="mso-fit-shape-to-text:t" inset="20pt,15pt,0,0">
                <w:txbxContent>
                  <w:p w14:paraId="05AA0E26" w14:textId="67ED8BC3" w:rsidR="006C48B4" w:rsidRPr="006C48B4" w:rsidRDefault="006C48B4" w:rsidP="006C48B4">
                    <w:pPr>
                      <w:spacing w:after="0"/>
                      <w:rPr>
                        <w:rFonts w:ascii="Aptos" w:eastAsia="Aptos" w:hAnsi="Aptos" w:cs="Aptos"/>
                        <w:noProof/>
                        <w:color w:val="000000"/>
                        <w:sz w:val="20"/>
                        <w:szCs w:val="20"/>
                      </w:rPr>
                    </w:pPr>
                    <w:r w:rsidRPr="006C48B4">
                      <w:rPr>
                        <w:rFonts w:ascii="Aptos" w:eastAsia="Aptos" w:hAnsi="Aptos" w:cs="Aptos"/>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6EE1" w14:textId="0A83B303" w:rsidR="006C48B4" w:rsidRDefault="006C48B4">
    <w:pPr>
      <w:pStyle w:val="Header"/>
    </w:pPr>
    <w:r>
      <w:rPr>
        <w:noProof/>
      </w:rPr>
      <mc:AlternateContent>
        <mc:Choice Requires="wps">
          <w:drawing>
            <wp:anchor distT="0" distB="0" distL="0" distR="0" simplePos="0" relativeHeight="251658240" behindDoc="0" locked="0" layoutInCell="1" allowOverlap="1" wp14:anchorId="79773CD9" wp14:editId="4332E6EA">
              <wp:simplePos x="635" y="635"/>
              <wp:positionH relativeFrom="page">
                <wp:align>left</wp:align>
              </wp:positionH>
              <wp:positionV relativeFrom="page">
                <wp:align>top</wp:align>
              </wp:positionV>
              <wp:extent cx="930275" cy="370205"/>
              <wp:effectExtent l="0" t="0" r="3175" b="10795"/>
              <wp:wrapNone/>
              <wp:docPr id="350233971"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4C73109D" w14:textId="75512C00" w:rsidR="006C48B4" w:rsidRPr="006C48B4" w:rsidRDefault="006C48B4" w:rsidP="006C48B4">
                          <w:pPr>
                            <w:spacing w:after="0"/>
                            <w:rPr>
                              <w:rFonts w:ascii="Aptos" w:eastAsia="Aptos" w:hAnsi="Aptos" w:cs="Aptos"/>
                              <w:noProof/>
                              <w:color w:val="000000"/>
                              <w:sz w:val="20"/>
                              <w:szCs w:val="20"/>
                            </w:rPr>
                          </w:pPr>
                          <w:r w:rsidRPr="006C48B4">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9773CD9" id="_x0000_t202" coordsize="21600,21600" o:spt="202" path="m,l,21600r21600,l21600,xe">
              <v:stroke joinstyle="miter"/>
              <v:path gradientshapeok="t" o:connecttype="rect"/>
            </v:shapetype>
            <v:shape id="Text Box 1" o:spid="_x0000_s1028" type="#_x0000_t202" alt="Confidential" style="position:absolute;margin-left:0;margin-top:0;width:73.2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" filled="f" stroked="f">
              <v:fill o:detectmouseclick="t"/>
              <v:textbox style="mso-fit-shape-to-text:t" inset="20pt,15pt,0,0">
                <w:txbxContent>
                  <w:p w14:paraId="4C73109D" w14:textId="75512C00" w:rsidR="006C48B4" w:rsidRPr="006C48B4" w:rsidRDefault="006C48B4" w:rsidP="006C48B4">
                    <w:pPr>
                      <w:spacing w:after="0"/>
                      <w:rPr>
                        <w:rFonts w:ascii="Aptos" w:eastAsia="Aptos" w:hAnsi="Aptos" w:cs="Aptos"/>
                        <w:noProof/>
                        <w:color w:val="000000"/>
                        <w:sz w:val="20"/>
                        <w:szCs w:val="20"/>
                      </w:rPr>
                    </w:pPr>
                    <w:r w:rsidRPr="006C48B4">
                      <w:rPr>
                        <w:rFonts w:ascii="Aptos" w:eastAsia="Aptos" w:hAnsi="Aptos" w:cs="Aptos"/>
                        <w:noProof/>
                        <w:color w:val="000000"/>
                        <w:sz w:val="20"/>
                        <w:szCs w:val="2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7C9"/>
    <w:rsid w:val="00363308"/>
    <w:rsid w:val="006C48B4"/>
    <w:rsid w:val="007127C9"/>
    <w:rsid w:val="007C1C76"/>
    <w:rsid w:val="00896D64"/>
    <w:rsid w:val="00DB3F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65FD"/>
  <w15:chartTrackingRefBased/>
  <w15:docId w15:val="{34FEF288-1032-4789-A498-3B25B0EEB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7C9"/>
    <w:rPr>
      <w:rFonts w:eastAsiaTheme="majorEastAsia" w:cstheme="majorBidi"/>
      <w:color w:val="272727" w:themeColor="text1" w:themeTint="D8"/>
    </w:rPr>
  </w:style>
  <w:style w:type="paragraph" w:styleId="Title">
    <w:name w:val="Title"/>
    <w:basedOn w:val="Normal"/>
    <w:next w:val="Normal"/>
    <w:link w:val="TitleChar"/>
    <w:uiPriority w:val="10"/>
    <w:qFormat/>
    <w:rsid w:val="00712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7C9"/>
    <w:pPr>
      <w:spacing w:before="160"/>
      <w:jc w:val="center"/>
    </w:pPr>
    <w:rPr>
      <w:i/>
      <w:iCs/>
      <w:color w:val="404040" w:themeColor="text1" w:themeTint="BF"/>
    </w:rPr>
  </w:style>
  <w:style w:type="character" w:customStyle="1" w:styleId="QuoteChar">
    <w:name w:val="Quote Char"/>
    <w:basedOn w:val="DefaultParagraphFont"/>
    <w:link w:val="Quote"/>
    <w:uiPriority w:val="29"/>
    <w:rsid w:val="007127C9"/>
    <w:rPr>
      <w:i/>
      <w:iCs/>
      <w:color w:val="404040" w:themeColor="text1" w:themeTint="BF"/>
    </w:rPr>
  </w:style>
  <w:style w:type="paragraph" w:styleId="ListParagraph">
    <w:name w:val="List Paragraph"/>
    <w:basedOn w:val="Normal"/>
    <w:uiPriority w:val="34"/>
    <w:qFormat/>
    <w:rsid w:val="007127C9"/>
    <w:pPr>
      <w:ind w:left="720"/>
      <w:contextualSpacing/>
    </w:pPr>
  </w:style>
  <w:style w:type="character" w:styleId="IntenseEmphasis">
    <w:name w:val="Intense Emphasis"/>
    <w:basedOn w:val="DefaultParagraphFont"/>
    <w:uiPriority w:val="21"/>
    <w:qFormat/>
    <w:rsid w:val="007127C9"/>
    <w:rPr>
      <w:i/>
      <w:iCs/>
      <w:color w:val="0F4761" w:themeColor="accent1" w:themeShade="BF"/>
    </w:rPr>
  </w:style>
  <w:style w:type="paragraph" w:styleId="IntenseQuote">
    <w:name w:val="Intense Quote"/>
    <w:basedOn w:val="Normal"/>
    <w:next w:val="Normal"/>
    <w:link w:val="IntenseQuoteChar"/>
    <w:uiPriority w:val="30"/>
    <w:qFormat/>
    <w:rsid w:val="00712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7C9"/>
    <w:rPr>
      <w:i/>
      <w:iCs/>
      <w:color w:val="0F4761" w:themeColor="accent1" w:themeShade="BF"/>
    </w:rPr>
  </w:style>
  <w:style w:type="character" w:styleId="IntenseReference">
    <w:name w:val="Intense Reference"/>
    <w:basedOn w:val="DefaultParagraphFont"/>
    <w:uiPriority w:val="32"/>
    <w:qFormat/>
    <w:rsid w:val="007127C9"/>
    <w:rPr>
      <w:b/>
      <w:bCs/>
      <w:smallCaps/>
      <w:color w:val="0F4761" w:themeColor="accent1" w:themeShade="BF"/>
      <w:spacing w:val="5"/>
    </w:rPr>
  </w:style>
  <w:style w:type="paragraph" w:styleId="Header">
    <w:name w:val="header"/>
    <w:basedOn w:val="Normal"/>
    <w:link w:val="HeaderChar"/>
    <w:uiPriority w:val="99"/>
    <w:unhideWhenUsed/>
    <w:rsid w:val="006C4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Santander</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
  <cp:lastModifiedBy>Oshikoya, Kolawole (Santander UK)</cp:lastModifiedBy>
  <cp:revision>1</cp:revision>
  <dcterms:created xsi:type="dcterms:W3CDTF">2026-10-15T10:52:00Z</dcterms:created>
  <dcterms:modified xsi:type="dcterms:W3CDTF">2026-10-15T11:07:00Z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14e02573,52d62841,7ace13b9</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2026-10-15T11:07:50Z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4a14a350-1a8b-415e-84e7-60a369e60caf</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ies>
</file>