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am an experienced Data Engineer and Solutions Architect with an MSc IT Security, BSc Physics, AWS Certified Cloud Practitioner and AWS Solutions Architect Associate credentials. I combine data engineering, solution architecture, cybersecurity, cloud transformation and analytical problem-solving to deliver secure, scalable services. I demonstrate Leadership and Seeing the Big Picture by translating strategic, regulatory and technical requirements into sustainable architectures, while Integrity, Honesty, Objectivity and Impartiality guide my handling of data, technical recommendations and investment decisions.</w:t>
      </w:r>
    </w:p>
    <w:p w:rsidR="00000000" w:rsidDel="00000000" w:rsidP="00000000" w:rsidRDefault="00000000" w:rsidRPr="00000000" w14:paraId="00000002">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Data Engineer at Santander, I demonstrate Delivering at Pace and Managing a Quality Service by designing production ETL/ELT pipelines using Python and SQL, integrating customer, account, lending and payment data into trusted datasets. I engineer Azure, Databricks and Delta Lake lakehouse solutions, applying schema evolution, partitioning, dimensional modelling and storage optimisation. For real-time requirements, I use Apache Kafka, change-data-capture, deduplication and schema validation, with Airflow providing orchestration, retries, monitoring and recovery. These solutions reduce manual preparation and strengthen reporting continuity, while Integrity and Objectivity ensure transformations remain traceable and evidence-based.</w:t>
      </w:r>
    </w:p>
    <w:p w:rsidR="00000000" w:rsidDel="00000000" w:rsidP="00000000" w:rsidRDefault="00000000" w:rsidRPr="00000000" w14:paraId="00000003">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demonstrate Leadership, Seeing the Big Picture and Making Effective Decisions through solution architecture. At Santander, I translate functional and non-functional requirements into architecture diagrams, data flows, integration designs and target-state solutions, assessing security, resilience, scalability, cost and dependencies. For the strategic legacy-platform transformation, I led readiness assessment for approximately 80 high-compute use cases, evaluating migration to </w:t>
      </w:r>
      <w:r w:rsidDel="00000000" w:rsidR="00000000" w:rsidRPr="00000000">
        <w:rPr>
          <w:rFonts w:ascii="Calibri" w:cs="Calibri" w:eastAsia="Calibri" w:hAnsi="Calibri"/>
          <w:sz w:val="20"/>
          <w:szCs w:val="20"/>
          <w:rtl w:val="0"/>
        </w:rPr>
        <w:t xml:space="preserve">AWS S3, Glue, SageMaker and Power BI.</w:t>
      </w:r>
      <w:r w:rsidDel="00000000" w:rsidR="00000000" w:rsidRPr="00000000">
        <w:rPr>
          <w:rFonts w:ascii="Calibri" w:cs="Calibri" w:eastAsia="Calibri" w:hAnsi="Calibri"/>
          <w:sz w:val="20"/>
          <w:szCs w:val="20"/>
          <w:rtl w:val="0"/>
        </w:rPr>
        <w:t xml:space="preserve"> Working with Finance, Data Science, Risk and ingestion teams, I used PoCs and evidence-based decision trees to establish an auditable migration route, demonstrating Objectivity and Impartiality when evaluating competing options.</w:t>
      </w:r>
    </w:p>
    <w:p w:rsidR="00000000" w:rsidDel="00000000" w:rsidP="00000000" w:rsidRDefault="00000000" w:rsidRPr="00000000" w14:paraId="00000004">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 AI-driven Data Governance work demonstrates Managing a Quality Service and Changing and Improving. I designed and operationalised AWS Lake Formation LF-Tag access control across a multi-account platform supporting 300+ engineers, classifying databases, tables and columns and strengthening alignment with GDPR, PCI DSS and BCBS 239. I automated deployment through CI/CD across governance, producer, analytics and exchange accounts. When validation failed silently, I completed six structured debugging cycles, identifying metadata-hierarchy and case-sensitivity defects. Resolving these restored governance enforcement and created reusable knowledge, reflecting Integrity and Honesty through transparent identification and resolution of control weaknesses.</w:t>
      </w:r>
    </w:p>
    <w:p w:rsidR="00000000" w:rsidDel="00000000" w:rsidP="00000000" w:rsidRDefault="00000000" w:rsidRPr="00000000" w14:paraId="00000005">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demonstrate Changing and Improving, Making Effective Decisions and Delivering at Pace through automation. I architected a self-healing solution using Python Lambda, EventBridge, SNS and Terraform to detect and remediate Terraform-state digest mismatches without routine production-console intervention. I developed 14 automated unit tests using pytest/moto and implemented controlled DEV-to-PRE-to-PROD deployment with dry-run validation and governance guardrails. This increased engineering self-service while maintaining auditability and operational resilience.</w:t>
      </w:r>
    </w:p>
    <w:p w:rsidR="00000000" w:rsidDel="00000000" w:rsidP="00000000" w:rsidRDefault="00000000" w:rsidRPr="00000000" w14:paraId="00000006">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 production troubleshooting demonstrates Leadership and Managing a Quality Service. When S3 503 throttling affected a regulatory Glue workload scanning 2,405 partitions, I analysed workload behaviour and root causes before designing remediation through controlled parallelism, retry/backoff tuning, chunked processing and historical-file compaction. This strengthened regulatory pipeline reliability. I communicate incidents with Honesty and Integrity, separating evidence from assumptions and escalating risks appropriately rather than masking technical problems.</w:t>
      </w:r>
    </w:p>
    <w:p w:rsidR="00000000" w:rsidDel="00000000" w:rsidP="00000000" w:rsidRDefault="00000000" w:rsidRPr="00000000" w14:paraId="00000007">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Earlier, as Data Solution Analyst at Santander, I demonstrated Working Together and Communicating and Influencing by collaborating with business users, engineers and technical stakeholders. I profiled datasets using Informatica Data Quality, analysed REST APIs through Postman, documented authentication and mappings and built Power BI semantic models and DAX measures. I coordinated UAT, requirements traceability and Jira defect management, while indexing, partitioning and incremental-loading analysis improved processing efficiency and business sign-off.</w:t>
      </w:r>
    </w:p>
    <w:p w:rsidR="00000000" w:rsidDel="00000000" w:rsidP="00000000" w:rsidRDefault="00000000" w:rsidRPr="00000000" w14:paraId="00000008">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Data Analyst at Santander, I demonstrated Making Effective Decisions using SAS, Excel Power Query, cohort analysis, statistical analysis and variance investigation across savings, mortgage and current-account information. I maintained reference data, reporting inventories and dependency registers in Confluence, enabling teams to identify upstream impacts before reporting was disrupted. Earlier, as Customer Insight Analyst at Polaris Bank, </w:t>
      </w:r>
      <w:r w:rsidDel="00000000" w:rsidR="00000000" w:rsidRPr="00000000">
        <w:rPr>
          <w:rFonts w:ascii="Calibri" w:cs="Calibri" w:eastAsia="Calibri" w:hAnsi="Calibri"/>
          <w:sz w:val="20"/>
          <w:szCs w:val="20"/>
          <w:rtl w:val="0"/>
        </w:rPr>
        <w:t xml:space="preserve">I used SPSS, RFM analysis and customer segmentation </w:t>
      </w:r>
      <w:r w:rsidDel="00000000" w:rsidR="00000000" w:rsidRPr="00000000">
        <w:rPr>
          <w:rFonts w:ascii="Calibri" w:cs="Calibri" w:eastAsia="Calibri" w:hAnsi="Calibri"/>
          <w:sz w:val="20"/>
          <w:szCs w:val="20"/>
          <w:rtl w:val="0"/>
        </w:rPr>
        <w:t xml:space="preserve">to convert behavioural data into actionable service and product insight, maintaining Objectivity and Impartiality in analytical interpretation.</w:t>
      </w:r>
    </w:p>
    <w:p w:rsidR="00000000" w:rsidDel="00000000" w:rsidP="00000000" w:rsidRDefault="00000000" w:rsidRPr="00000000" w14:paraId="00000009">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demonstrate Developing Self and Others and Leadership as Data Analytics Bootcamp Trainer at We-Are-Group, where I taught Python, </w:t>
      </w:r>
      <w:r w:rsidDel="00000000" w:rsidR="00000000" w:rsidRPr="00000000">
        <w:rPr>
          <w:rFonts w:ascii="Calibri" w:cs="Calibri" w:eastAsia="Calibri" w:hAnsi="Calibri"/>
          <w:sz w:val="20"/>
          <w:szCs w:val="20"/>
          <w:rtl w:val="0"/>
        </w:rPr>
        <w:t xml:space="preserve">pandas, Jupyter, CSV, JSON and Parquet</w:t>
      </w:r>
      <w:r w:rsidDel="00000000" w:rsidR="00000000" w:rsidRPr="00000000">
        <w:rPr>
          <w:rFonts w:ascii="Calibri" w:cs="Calibri" w:eastAsia="Calibri" w:hAnsi="Calibri"/>
          <w:sz w:val="20"/>
          <w:szCs w:val="20"/>
          <w:rtl w:val="0"/>
        </w:rPr>
        <w:t xml:space="preserve">, assessed portfolios and coached learners with differing abilities. Through my SQL Bootcamp, University of East London mentoring, TechFleet Solution Architect Lead role and Help Close By volunteering, I share knowledge, review solutions and communicate technical concepts accessibly.</w:t>
      </w:r>
    </w:p>
    <w:p w:rsidR="00000000" w:rsidDel="00000000" w:rsidP="00000000" w:rsidRDefault="00000000" w:rsidRPr="00000000" w14:paraId="0000000A">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 contribution to Santander’s Target Operating Model supporting 300+ engineers further demonstrates Seeing the Big Picture, Changing and Improving and Communicating and Influencing. I conducted gap analysis, developed a reusable documentation framework adopted organisationally and introduced CQL-based staleness monitoring with quarterly reviews. Across delivery I use Agile, Scrum, Kanban, Git, CI/CD, Terraform, RAID management, technical backlogs, decision records, runbooks, data dictionaries, lineage, deployment and rollback plans to control risk and benefits.</w:t>
      </w:r>
    </w:p>
    <w:p w:rsidR="00000000" w:rsidDel="00000000" w:rsidP="00000000" w:rsidRDefault="00000000" w:rsidRPr="00000000" w14:paraId="0000000B">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promote EDI through inclusive technical discussions, accessible communication and constructive challenge. I would bring all nine Civil Service Behaviours and Integrity, Honesty, Objectivity and Impartiality, combining secure architecture, engineering excellence and collaborative leadership to deliver resilient, cost-effective data services and measurable public value.</w:t>
      </w:r>
    </w:p>
    <w:p w:rsidR="00000000" w:rsidDel="00000000" w:rsidP="00000000" w:rsidRDefault="00000000" w:rsidRPr="00000000" w14:paraId="0000000C">
      <w:pPr>
        <w:spacing w:after="240" w:befor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0"/>
          <w:szCs w:val="2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