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7554" w14:textId="0D8B4613" w:rsidR="00D835AB" w:rsidRPr="00D835AB" w:rsidRDefault="00D835AB">
      <w:pPr>
        <w:rPr>
          <w:b/>
          <w:bCs/>
        </w:rPr>
      </w:pPr>
      <w:r w:rsidRPr="00D835AB">
        <w:rPr>
          <w:b/>
          <w:bCs/>
        </w:rPr>
        <w:t xml:space="preserve">Why I </w:t>
      </w:r>
      <w:r w:rsidRPr="00D835AB">
        <w:rPr>
          <w:b/>
          <w:bCs/>
        </w:rPr>
        <w:t>Why do you want to apply for this role? Provide a brief overview of your suitability for the role</w:t>
      </w:r>
      <w:r w:rsidRPr="00D835AB">
        <w:rPr>
          <w:b/>
          <w:bCs/>
        </w:rPr>
        <w:t>:</w:t>
      </w:r>
      <w:r w:rsidRPr="00D835AB">
        <w:rPr>
          <w:b/>
          <w:bCs/>
        </w:rPr>
        <w:br/>
        <w:t> </w:t>
      </w:r>
    </w:p>
    <w:p w14:paraId="5B70C4F9" w14:textId="6173D710" w:rsidR="00D835AB" w:rsidRDefault="00D835AB">
      <w:r w:rsidRPr="00D835AB">
        <w:t>I want to join the Data &amp; AI Domain because this role matches what I do best: turning stakeholder needs into well-governed data assets, and keeping a portfolio of work moving with clear evidence of progress. Since joining Santander in February 2022, I have worked as a Data Analyst, a Data Solution Analyst and a Data Engineer. Each role has built a different part of what the CDAIO Book of Work needs: careful analysis, requirements and delivery oversight, and governance.</w:t>
      </w:r>
      <w:r w:rsidRPr="00D835AB">
        <w:br/>
      </w:r>
      <w:r w:rsidRPr="00D835AB">
        <w:br/>
        <w:t>Delivery and portfolio oversight. As a Data Solution Analyst, I led the business and technical readiness assessment for about 80 CDSW and Plotly use cases moving to AWS SageMaker and Power BI. I worked with Finance, Data Science, Risk and data owners to map dependencies, constraints and critical success factors. I tracked milestones, owners, tasks in progress, dependencies on stakeholder input, and completed work. I followed up with colleagues and escalated blockers. I built a central Power BI dashboard that showed senior leaders how fast the migration was moving and the status of each table. I also created a decision-tree framework, backed by proofs of concept, so that full, partial or phased sign-offs were based on evidence and recorded for audit.</w:t>
      </w:r>
      <w:r w:rsidRPr="00D835AB">
        <w:br/>
      </w:r>
      <w:r w:rsidRPr="00D835AB">
        <w:br/>
        <w:t>Analytics in a regulated environment. My first Santander role was in financial crime analytics. I built a data-merging framework that linked customer identities with Suspicious Activity Report (SAR) narratives. I used SAS SQL and SQL to analyse unusual inflows, cash deposits and international transactions. This work required close attention to accuracy, completeness and traceability. I also identified SQL-based monitoring improvements and supported the remediation of higher-risk populations.</w:t>
      </w:r>
      <w:r w:rsidRPr="00D835AB">
        <w:br/>
      </w:r>
      <w:r w:rsidRPr="00D835AB">
        <w:br/>
        <w:t>Governance, controls and automation. As a Data Engineer, I work with Product Owners, Business Analysts and engineers to turn business objectives into technical requirements. I led AWS migration work that cut operational costs by 25%. I automated access-management workflows, which reduced manual authorisation tasks by 40%. I designed Lake Formation tag-based data classification across a platform serving 300+ engineers. I also built an Atlassian Rovo agent that checks Amazon EMR clusters every week for approaching end-of-support dates, writes a compliance summary and raises a Jira ticket for follow-up.</w:t>
      </w:r>
      <w:r w:rsidRPr="00D835AB">
        <w:br/>
      </w:r>
      <w:r w:rsidRPr="00D835AB">
        <w:br/>
        <w:t xml:space="preserve">Communication and capability building. I regularly explain technical topics to people with different levels of experience. I have done this as a data analytics bootcamp trainer, as a mentor at the University of East London, and by running a three-month SQL </w:t>
      </w:r>
      <w:r w:rsidRPr="00D835AB">
        <w:lastRenderedPageBreak/>
        <w:t>programme for 30+ professionals.</w:t>
      </w:r>
      <w:r w:rsidRPr="00D835AB">
        <w:br/>
      </w:r>
      <w:r w:rsidRPr="00D835AB">
        <w:br/>
        <w:t>My MSc in IT Security and BSc in Physics support a structured, evidence-led way of working. I would welcome the chance to bring this mix of analysis, stakeholder management and governed delivery to the Data &amp; AI Domain, and to help prioritise the Book of Work against its objectives and key results.</w:t>
      </w:r>
    </w:p>
    <w:p w14:paraId="6E910166" w14:textId="77777777" w:rsidR="00D835AB" w:rsidRDefault="00D835AB"/>
    <w:p w14:paraId="2261703C" w14:textId="755E9790" w:rsidR="00D835AB" w:rsidRPr="00D835AB" w:rsidRDefault="00D835AB" w:rsidP="00D835AB">
      <w:pPr>
        <w:rPr>
          <w:b/>
          <w:bCs/>
        </w:rPr>
      </w:pPr>
      <w:r w:rsidRPr="00D835AB">
        <w:rPr>
          <w:b/>
          <w:bCs/>
        </w:rPr>
        <w:t xml:space="preserve">How do you decide when to escalate a risk or an issue, or deal with it yourself. Tell me about a time when you had to make that decision and the outcome? </w:t>
      </w:r>
    </w:p>
    <w:p w14:paraId="3BCFEA80" w14:textId="0E0DEC16" w:rsidR="00D835AB" w:rsidRPr="00D835AB" w:rsidRDefault="00D835AB" w:rsidP="00D835AB">
      <w:r w:rsidRPr="00D835AB">
        <w:t>I deal with an issue myself when it is within my remit, the cause is clear, and fixing it won't change the scope, timeline, agreed requirements or controls that others rely on. I escalate when an issue threatens a milestone or depends on something I don't control. I also escalate when it needs a decision from a data owner or senior stakeholder, or when it affects governance, risk or regulatory controls. When I escalate, I bring the evidence, the impact and recommended options, not just the problem.</w:t>
      </w:r>
      <w:r w:rsidRPr="00D835AB">
        <w:br/>
      </w:r>
      <w:r w:rsidRPr="00D835AB">
        <w:br/>
        <w:t>During the migration of about 80 CDSW and Plotly use cases to AWS SageMaker and Power BI, I tracked each use case's owner, tasks, dependencies and readiness. Many blockers were mine to solve: clarifying requirements, chasing missing input from stakeholders, or working with ingestion teams to move source tables. I resolved these directly through follow-up.</w:t>
      </w:r>
      <w:r w:rsidRPr="00D835AB">
        <w:br/>
      </w:r>
      <w:r w:rsidRPr="00D835AB">
        <w:br/>
        <w:t>Other blockers could not be solved at my level. Sometimes a use case could not fully meet its agreed critical success factors on the target platform. Going ahead would have meant either accepting a gap on the owner's behalf or delaying the programme. Instead of making that call myself, I escalated it. I used proofs of concept and the decision-tree framework to show what the target platform could and could not do. I set out full, partial and phased options, and I flagged the item on the Power BI dashboard that senior leaders used.</w:t>
      </w:r>
      <w:r w:rsidRPr="00D835AB">
        <w:br/>
      </w:r>
      <w:r w:rsidRPr="00D835AB">
        <w:br/>
        <w:t>Outcome: Data owners made sign-off decisions based on evidence, with a record kept for audit. Exceptions were handled against agreed governance criteria rather than undocumented assumptions. Leadership also had a clear, up-to-date view of progress and blockers across the programme.</w:t>
      </w:r>
    </w:p>
    <w:p w14:paraId="407FC9B1" w14:textId="77777777" w:rsidR="00D835AB" w:rsidRDefault="00D835AB"/>
    <w:sectPr w:rsidR="00D835AB">
      <w:headerReference w:type="even" r:id="rId6"/>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3F45" w14:textId="77777777" w:rsidR="008F772C" w:rsidRDefault="008F772C" w:rsidP="00D835AB">
      <w:pPr>
        <w:spacing w:after="0" w:line="240" w:lineRule="auto"/>
      </w:pPr>
      <w:r>
        <w:separator/>
      </w:r>
    </w:p>
  </w:endnote>
  <w:endnote w:type="continuationSeparator" w:id="0">
    <w:p w14:paraId="31A54610" w14:textId="77777777" w:rsidR="008F772C" w:rsidRDefault="008F772C" w:rsidP="00D83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7577" w14:textId="77777777" w:rsidR="008F772C" w:rsidRDefault="008F772C" w:rsidP="00D835AB">
      <w:pPr>
        <w:spacing w:after="0" w:line="240" w:lineRule="auto"/>
      </w:pPr>
      <w:r>
        <w:separator/>
      </w:r>
    </w:p>
  </w:footnote>
  <w:footnote w:type="continuationSeparator" w:id="0">
    <w:p w14:paraId="7507F224" w14:textId="77777777" w:rsidR="008F772C" w:rsidRDefault="008F772C" w:rsidP="00D83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6611" w14:textId="3373EDCF" w:rsidR="00D835AB" w:rsidRDefault="00D835AB">
    <w:pPr>
      <w:pStyle w:val="Header"/>
    </w:pPr>
    <w:r>
      <w:rPr>
        <w:noProof/>
      </w:rPr>
      <mc:AlternateContent>
        <mc:Choice Requires="wps">
          <w:drawing>
            <wp:anchor distT="0" distB="0" distL="0" distR="0" simplePos="0" relativeHeight="251659264" behindDoc="0" locked="0" layoutInCell="1" allowOverlap="1" wp14:anchorId="0176DF3E" wp14:editId="3D13C882">
              <wp:simplePos x="635" y="635"/>
              <wp:positionH relativeFrom="page">
                <wp:align>left</wp:align>
              </wp:positionH>
              <wp:positionV relativeFrom="page">
                <wp:align>top</wp:align>
              </wp:positionV>
              <wp:extent cx="930275" cy="370205"/>
              <wp:effectExtent l="0" t="0" r="3175" b="10795"/>
              <wp:wrapNone/>
              <wp:docPr id="145962669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3DA3C24" w14:textId="16422A17"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176DF3E"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fill o:detectmouseclick="t"/>
              <v:textbox style="mso-fit-shape-to-text:t" inset="20pt,15pt,0,0">
                <w:txbxContent>
                  <w:p w14:paraId="73DA3C24" w14:textId="16422A17"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AF41" w14:textId="07352287" w:rsidR="00D835AB" w:rsidRDefault="00D835AB">
    <w:pPr>
      <w:pStyle w:val="Header"/>
    </w:pPr>
    <w:r>
      <w:rPr>
        <w:noProof/>
      </w:rPr>
      <mc:AlternateContent>
        <mc:Choice Requires="wps">
          <w:drawing>
            <wp:anchor distT="0" distB="0" distL="0" distR="0" simplePos="0" relativeHeight="251660288" behindDoc="0" locked="0" layoutInCell="1" allowOverlap="1" wp14:anchorId="1C7A479F" wp14:editId="3BD35897">
              <wp:simplePos x="914400" y="447675"/>
              <wp:positionH relativeFrom="page">
                <wp:align>left</wp:align>
              </wp:positionH>
              <wp:positionV relativeFrom="page">
                <wp:align>top</wp:align>
              </wp:positionV>
              <wp:extent cx="930275" cy="370205"/>
              <wp:effectExtent l="0" t="0" r="3175" b="10795"/>
              <wp:wrapNone/>
              <wp:docPr id="116762707"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743CBC4" w14:textId="0EECEDDC"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7A479F"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fill o:detectmouseclick="t"/>
              <v:textbox style="mso-fit-shape-to-text:t" inset="20pt,15pt,0,0">
                <w:txbxContent>
                  <w:p w14:paraId="4743CBC4" w14:textId="0EECEDDC"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FC5A" w14:textId="3612CA99" w:rsidR="00D835AB" w:rsidRDefault="00D835AB">
    <w:pPr>
      <w:pStyle w:val="Header"/>
    </w:pPr>
    <w:r>
      <w:rPr>
        <w:noProof/>
      </w:rPr>
      <mc:AlternateContent>
        <mc:Choice Requires="wps">
          <w:drawing>
            <wp:anchor distT="0" distB="0" distL="0" distR="0" simplePos="0" relativeHeight="251658240" behindDoc="0" locked="0" layoutInCell="1" allowOverlap="1" wp14:anchorId="09F320E2" wp14:editId="0A85E3AE">
              <wp:simplePos x="635" y="635"/>
              <wp:positionH relativeFrom="page">
                <wp:align>left</wp:align>
              </wp:positionH>
              <wp:positionV relativeFrom="page">
                <wp:align>top</wp:align>
              </wp:positionV>
              <wp:extent cx="930275" cy="370205"/>
              <wp:effectExtent l="0" t="0" r="3175" b="10795"/>
              <wp:wrapNone/>
              <wp:docPr id="899409235"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3C51B398" w14:textId="2563ABCE"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F320E2"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fill o:detectmouseclick="t"/>
              <v:textbox style="mso-fit-shape-to-text:t" inset="20pt,15pt,0,0">
                <w:txbxContent>
                  <w:p w14:paraId="3C51B398" w14:textId="2563ABCE" w:rsidR="00D835AB" w:rsidRPr="00D835AB" w:rsidRDefault="00D835AB" w:rsidP="00D835AB">
                    <w:pPr>
                      <w:spacing w:after="0"/>
                      <w:rPr>
                        <w:rFonts w:ascii="Aptos" w:eastAsia="Aptos" w:hAnsi="Aptos" w:cs="Aptos"/>
                        <w:noProof/>
                        <w:color w:val="000000"/>
                        <w:sz w:val="20"/>
                        <w:szCs w:val="20"/>
                      </w:rPr>
                    </w:pPr>
                    <w:r w:rsidRPr="00D835AB">
                      <w:rPr>
                        <w:rFonts w:ascii="Aptos" w:eastAsia="Aptos" w:hAnsi="Aptos" w:cs="Aptos"/>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AB"/>
    <w:rsid w:val="003813D2"/>
    <w:rsid w:val="007C1C76"/>
    <w:rsid w:val="00896D64"/>
    <w:rsid w:val="008F772C"/>
    <w:rsid w:val="00D835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9BE6"/>
  <w15:chartTrackingRefBased/>
  <w15:docId w15:val="{93841066-325E-4469-9FA0-90CA0193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5AB"/>
    <w:rPr>
      <w:rFonts w:eastAsiaTheme="majorEastAsia" w:cstheme="majorBidi"/>
      <w:color w:val="272727" w:themeColor="text1" w:themeTint="D8"/>
    </w:rPr>
  </w:style>
  <w:style w:type="paragraph" w:styleId="Title">
    <w:name w:val="Title"/>
    <w:basedOn w:val="Normal"/>
    <w:next w:val="Normal"/>
    <w:link w:val="TitleChar"/>
    <w:uiPriority w:val="10"/>
    <w:qFormat/>
    <w:rsid w:val="00D83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5AB"/>
    <w:pPr>
      <w:spacing w:before="160"/>
      <w:jc w:val="center"/>
    </w:pPr>
    <w:rPr>
      <w:i/>
      <w:iCs/>
      <w:color w:val="404040" w:themeColor="text1" w:themeTint="BF"/>
    </w:rPr>
  </w:style>
  <w:style w:type="character" w:customStyle="1" w:styleId="QuoteChar">
    <w:name w:val="Quote Char"/>
    <w:basedOn w:val="DefaultParagraphFont"/>
    <w:link w:val="Quote"/>
    <w:uiPriority w:val="29"/>
    <w:rsid w:val="00D835AB"/>
    <w:rPr>
      <w:i/>
      <w:iCs/>
      <w:color w:val="404040" w:themeColor="text1" w:themeTint="BF"/>
    </w:rPr>
  </w:style>
  <w:style w:type="paragraph" w:styleId="ListParagraph">
    <w:name w:val="List Paragraph"/>
    <w:basedOn w:val="Normal"/>
    <w:uiPriority w:val="34"/>
    <w:qFormat/>
    <w:rsid w:val="00D835AB"/>
    <w:pPr>
      <w:ind w:left="720"/>
      <w:contextualSpacing/>
    </w:pPr>
  </w:style>
  <w:style w:type="character" w:styleId="IntenseEmphasis">
    <w:name w:val="Intense Emphasis"/>
    <w:basedOn w:val="DefaultParagraphFont"/>
    <w:uiPriority w:val="21"/>
    <w:qFormat/>
    <w:rsid w:val="00D835AB"/>
    <w:rPr>
      <w:i/>
      <w:iCs/>
      <w:color w:val="0F4761" w:themeColor="accent1" w:themeShade="BF"/>
    </w:rPr>
  </w:style>
  <w:style w:type="paragraph" w:styleId="IntenseQuote">
    <w:name w:val="Intense Quote"/>
    <w:basedOn w:val="Normal"/>
    <w:next w:val="Normal"/>
    <w:link w:val="IntenseQuoteChar"/>
    <w:uiPriority w:val="30"/>
    <w:qFormat/>
    <w:rsid w:val="00D83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5AB"/>
    <w:rPr>
      <w:i/>
      <w:iCs/>
      <w:color w:val="0F4761" w:themeColor="accent1" w:themeShade="BF"/>
    </w:rPr>
  </w:style>
  <w:style w:type="character" w:styleId="IntenseReference">
    <w:name w:val="Intense Reference"/>
    <w:basedOn w:val="DefaultParagraphFont"/>
    <w:uiPriority w:val="32"/>
    <w:qFormat/>
    <w:rsid w:val="00D835AB"/>
    <w:rPr>
      <w:b/>
      <w:bCs/>
      <w:smallCaps/>
      <w:color w:val="0F4761" w:themeColor="accent1" w:themeShade="BF"/>
      <w:spacing w:val="5"/>
    </w:rPr>
  </w:style>
  <w:style w:type="paragraph" w:styleId="NormalWeb">
    <w:name w:val="Normal (Web)"/>
    <w:basedOn w:val="Normal"/>
    <w:uiPriority w:val="99"/>
    <w:semiHidden/>
    <w:unhideWhenUsed/>
    <w:rsid w:val="00D835AB"/>
    <w:rPr>
      <w:rFonts w:ascii="Times New Roman" w:hAnsi="Times New Roman" w:cs="Times New Roman"/>
    </w:rPr>
  </w:style>
  <w:style w:type="paragraph" w:styleId="Header">
    <w:name w:val="header"/>
    <w:basedOn w:val="Normal"/>
    <w:link w:val="HeaderChar"/>
    <w:uiPriority w:val="99"/>
    <w:unhideWhenUsed/>
    <w:rsid w:val="00D835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728</Words>
  <Characters>4154</Characters>
  <Application>Microsoft Office Word</Application>
  <DocSecurity>0</DocSecurity>
  <Lines>34</Lines>
  <Paragraphs>9</Paragraphs>
  <ScaleCrop>false</ScaleCrop>
  <Company>Santander</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2026-10-15T15:33:00Z</dcterms:created>
  <dcterms:modified xsi:type="dcterms:W3CDTF">2026-10-15T15:39:00Z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359be553,570022ca,6f5a853</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2026-10-15T15:39:05Z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003917d6-e332-48be-ae68-e6dcda9279c0</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