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DOCUMENTAÇÃO TÉCNICA DE PROJETO</w:t>
      </w:r>
    </w:p>
    <w:p>
      <w:pPr>
        <w:spacing w:after="40"/>
      </w:pPr>
      <w:r>
        <w:rPr>
          <w:b/>
          <w:bCs/>
          <w:color w:val="1F3864"/>
          <w:sz w:val="44"/>
          <w:szCs w:val="44"/>
        </w:rPr>
        <w:t xml:space="preserve">Health Check Proativo de PDVs</w:t>
      </w:r>
    </w:p>
    <w:p>
      <w:pPr>
        <w:spacing w:after="360"/>
      </w:pPr>
      <w:r>
        <w:rPr>
          <w:i/>
          <w:iCs/>
          <w:color w:val="595959"/>
          <w:sz w:val="22"/>
          <w:szCs w:val="22"/>
        </w:rPr>
        <w:t xml:space="preserve">Monitoramento contínuo das máquinas de ponto de venda da rede de lojas — Stack técnica e decisões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AF1F8" w:val="clear"/>
            <w:tcMar>
              <w:top w:type="dxa" w:w="100"/>
              <w:left w:type="dxa" w:w="120"/>
              <w:bottom w:type="dxa" w:w="100"/>
              <w:right w:type="dxa" w:w="120"/>
            </w:tcMar>
          </w:tcPr>
          <w:p>
            <w:r>
              <w:rPr>
                <w:b/>
                <w:bCs/>
                <w:color w:val="000000"/>
                <w:sz w:val="20"/>
                <w:szCs w:val="20"/>
              </w:rPr>
              <w:t xml:space="preserve">Área responsável</w:t>
            </w:r>
          </w:p>
        </w:tc>
        <w:tc>
          <w:tcPr>
            <w:tcW w:type="dxa" w:w="6960"/>
            <w:tcMar>
              <w:top w:type="dxa" w:w="100"/>
              <w:left w:type="dxa" w:w="120"/>
              <w:bottom w:type="dxa" w:w="100"/>
              <w:right w:type="dxa" w:w="120"/>
            </w:tcMar>
          </w:tcPr>
          <w:p>
            <w:r>
              <w:rPr>
                <w:b w:val="false"/>
                <w:bCs w:val="false"/>
                <w:color w:val="000000"/>
                <w:sz w:val="20"/>
                <w:szCs w:val="20"/>
              </w:rPr>
              <w:t xml:space="preserve">TI — Inovação</w:t>
            </w:r>
          </w:p>
        </w:tc>
      </w:tr>
      <w:tr>
        <w:tc>
          <w:tcPr>
            <w:tcW w:type="dxa" w:w="2400"/>
            <w:shd w:fill="EAF1F8" w:val="clear"/>
            <w:tcMar>
              <w:top w:type="dxa" w:w="100"/>
              <w:left w:type="dxa" w:w="120"/>
              <w:bottom w:type="dxa" w:w="100"/>
              <w:right w:type="dxa" w:w="120"/>
            </w:tcMar>
          </w:tcPr>
          <w:p>
            <w:r>
              <w:rPr>
                <w:b/>
                <w:bCs/>
                <w:color w:val="000000"/>
                <w:sz w:val="20"/>
                <w:szCs w:val="20"/>
              </w:rPr>
              <w:t xml:space="preserve">Status</w:t>
            </w:r>
          </w:p>
        </w:tc>
        <w:tc>
          <w:tcPr>
            <w:tcW w:type="dxa" w:w="6960"/>
            <w:tcMar>
              <w:top w:type="dxa" w:w="100"/>
              <w:left w:type="dxa" w:w="120"/>
              <w:bottom w:type="dxa" w:w="100"/>
              <w:right w:type="dxa" w:w="120"/>
            </w:tcMar>
          </w:tcPr>
          <w:p>
            <w:r>
              <w:rPr>
                <w:b w:val="false"/>
                <w:bCs w:val="false"/>
                <w:color w:val="000000"/>
                <w:sz w:val="20"/>
                <w:szCs w:val="20"/>
              </w:rPr>
              <w:t xml:space="preserve">Em desenvolvimento — iniciando pelo backend</w:t>
            </w:r>
          </w:p>
        </w:tc>
      </w:tr>
      <w:tr>
        <w:tc>
          <w:tcPr>
            <w:tcW w:type="dxa" w:w="2400"/>
            <w:shd w:fill="EAF1F8" w:val="clear"/>
            <w:tcMar>
              <w:top w:type="dxa" w:w="100"/>
              <w:left w:type="dxa" w:w="120"/>
              <w:bottom w:type="dxa" w:w="100"/>
              <w:right w:type="dxa" w:w="120"/>
            </w:tcMar>
          </w:tcPr>
          <w:p>
            <w:r>
              <w:rPr>
                <w:b/>
                <w:bCs/>
                <w:color w:val="000000"/>
                <w:sz w:val="20"/>
                <w:szCs w:val="20"/>
              </w:rPr>
              <w:t xml:space="preserve">Escopo inicial</w:t>
            </w:r>
          </w:p>
        </w:tc>
        <w:tc>
          <w:tcPr>
            <w:tcW w:type="dxa" w:w="6960"/>
            <w:tcMar>
              <w:top w:type="dxa" w:w="100"/>
              <w:left w:type="dxa" w:w="120"/>
              <w:bottom w:type="dxa" w:w="100"/>
              <w:right w:type="dxa" w:w="120"/>
            </w:tcMar>
          </w:tcPr>
          <w:p>
            <w:r>
              <w:rPr>
                <w:b w:val="false"/>
                <w:bCs w:val="false"/>
                <w:color w:val="000000"/>
                <w:sz w:val="20"/>
                <w:szCs w:val="20"/>
              </w:rPr>
              <w:t xml:space="preserve">Máquinas de PDV (caixas) — notebooks e outros equipamentos ficam para uma fase futura</w:t>
            </w:r>
          </w:p>
        </w:tc>
      </w:tr>
      <w:tr>
        <w:tc>
          <w:tcPr>
            <w:tcW w:type="dxa" w:w="2400"/>
            <w:shd w:fill="EAF1F8" w:val="clear"/>
            <w:tcMar>
              <w:top w:type="dxa" w:w="100"/>
              <w:left w:type="dxa" w:w="120"/>
              <w:bottom w:type="dxa" w:w="100"/>
              <w:right w:type="dxa" w:w="120"/>
            </w:tcMar>
          </w:tcPr>
          <w:p>
            <w:r>
              <w:rPr>
                <w:b/>
                <w:bCs/>
                <w:color w:val="000000"/>
                <w:sz w:val="20"/>
                <w:szCs w:val="20"/>
              </w:rPr>
              <w:t xml:space="preserve">Hospedagem</w:t>
            </w:r>
          </w:p>
        </w:tc>
        <w:tc>
          <w:tcPr>
            <w:tcW w:type="dxa" w:w="6960"/>
            <w:tcMar>
              <w:top w:type="dxa" w:w="100"/>
              <w:left w:type="dxa" w:w="120"/>
              <w:bottom w:type="dxa" w:w="100"/>
              <w:right w:type="dxa" w:w="120"/>
            </w:tcMar>
          </w:tcPr>
          <w:p>
            <w:r>
              <w:rPr>
                <w:b w:val="false"/>
                <w:bCs w:val="false"/>
                <w:color w:val="000000"/>
                <w:sz w:val="20"/>
                <w:szCs w:val="20"/>
              </w:rPr>
              <w:t xml:space="preserve">Infraestrutura própria da empresa (mesmo padrão dos painéis internos atuais)</w:t>
            </w:r>
          </w:p>
        </w:tc>
      </w:tr>
    </w:tbl>
    <w:p>
      <w:pPr>
        <w:pStyle w:val="Heading1"/>
        <w:pBdr>
          <w:bottom w:val="single" w:color="2E75B6" w:sz="6" w:space="4"/>
        </w:pBdr>
        <w:spacing w:after="160" w:before="360"/>
      </w:pPr>
      <w:r>
        <w:rPr>
          <w:b/>
          <w:bCs/>
          <w:color w:val="1F3864"/>
          <w:sz w:val="30"/>
          <w:szCs w:val="30"/>
        </w:rPr>
        <w:t xml:space="preserve">1. Visão Geral</w:t>
      </w:r>
    </w:p>
    <w:p>
      <w:pPr>
        <w:spacing w:after="160" w:line="300"/>
      </w:pPr>
      <w:r>
        <w:rPr>
          <w:sz w:val="22"/>
          <w:szCs w:val="22"/>
        </w:rPr>
        <w:t xml:space="preserve">O projeto cria um sistema de monitoramento proativo da saúde das máquinas de PDV (caixas) em todas as lojas da rede. Hoje, problemas nessas máquinas só são percebidos quando alguém na loja abre um chamado. Com esse sistema, a TI passa a identificar o problema antes ou ao mesmo tempo que a loja, agindo de forma proativa em vez de reativa — reduzindo tempo de loja parada e chamados evitáveis.</w:t>
      </w:r>
    </w:p>
    <w:p>
      <w:pPr>
        <w:spacing w:after="160" w:line="300"/>
      </w:pPr>
      <w:r>
        <w:rPr>
          <w:sz w:val="22"/>
          <w:szCs w:val="22"/>
        </w:rPr>
        <w:t xml:space="preserve">Além do valor operacional, o projeto também serve como estudo prático de desenvolvimento fullstack para a equipe de TI, cobrindo backend com banco relacional, API, e frontend moderno com Next.js.</w:t>
      </w:r>
    </w:p>
    <w:p>
      <w:pPr>
        <w:pStyle w:val="Heading1"/>
        <w:pBdr>
          <w:bottom w:val="single" w:color="2E75B6" w:sz="6" w:space="4"/>
        </w:pBdr>
        <w:spacing w:after="160" w:before="360"/>
      </w:pPr>
      <w:r>
        <w:rPr>
          <w:b/>
          <w:bCs/>
          <w:color w:val="1F3864"/>
          <w:sz w:val="30"/>
          <w:szCs w:val="30"/>
        </w:rPr>
        <w:t xml:space="preserve">2. Como Vai Funcionar</w:t>
      </w:r>
    </w:p>
    <w:p>
      <w:pPr>
        <w:pStyle w:val="ListParagraph"/>
        <w:numPr>
          <w:ilvl w:val="0"/>
          <w:numId w:val="2"/>
        </w:numPr>
        <w:spacing w:after="100" w:line="280"/>
      </w:pPr>
      <w:r>
        <w:rPr>
          <w:sz w:val="22"/>
          <w:szCs w:val="22"/>
        </w:rPr>
        <w:t xml:space="preserve">Coleta local: cada PDV verifica periodicamente seu próprio estado — espaço em disco, status do serviço do sistema de vendas, status da impressora fiscal e uso de recursos.</w:t>
      </w:r>
    </w:p>
    <w:p>
      <w:pPr>
        <w:pStyle w:val="ListParagraph"/>
        <w:numPr>
          <w:ilvl w:val="0"/>
          <w:numId w:val="2"/>
        </w:numPr>
        <w:spacing w:after="100" w:line="280"/>
      </w:pPr>
      <w:r>
        <w:rPr>
          <w:sz w:val="22"/>
          <w:szCs w:val="22"/>
        </w:rPr>
        <w:t xml:space="preserve">Envio dos dados: as informações, identificadas pelo nome da máquina (que já indica loja e caixa), são enviadas pela internet até o backend central.</w:t>
      </w:r>
    </w:p>
    <w:p>
      <w:pPr>
        <w:pStyle w:val="ListParagraph"/>
        <w:numPr>
          <w:ilvl w:val="0"/>
          <w:numId w:val="2"/>
        </w:numPr>
        <w:spacing w:after="100" w:line="280"/>
      </w:pPr>
      <w:r>
        <w:rPr>
          <w:sz w:val="22"/>
          <w:szCs w:val="22"/>
        </w:rPr>
        <w:t xml:space="preserve">Visualização: o backend disponibiliza os dados num painel web, com status geral e a opção de selecionar uma loja específica para ver o detalhamento das máquinas monitoradas ali.</w:t>
      </w:r>
    </w:p>
    <w:p>
      <w:pPr>
        <w:pStyle w:val="Heading2"/>
        <w:spacing w:after="120" w:before="280"/>
      </w:pPr>
      <w:r>
        <w:rPr>
          <w:b/>
          <w:bCs/>
          <w:color w:val="2E75B6"/>
          <w:sz w:val="24"/>
          <w:szCs w:val="24"/>
        </w:rPr>
        <w:t xml:space="preserve">2.1 Identificação das máquinas</w:t>
      </w:r>
    </w:p>
    <w:p>
      <w:pPr>
        <w:pStyle w:val="ListParagraph"/>
        <w:numPr>
          <w:ilvl w:val="0"/>
          <w:numId w:val="3"/>
        </w:numPr>
        <w:spacing w:after="80" w:line="280"/>
      </w:pPr>
      <w:r>
        <w:rPr>
          <w:sz w:val="22"/>
          <w:szCs w:val="22"/>
        </w:rPr>
        <w:t xml:space="preserve">Nome do computador: L{número da loja}-CX{número do caixa} — exemplo: L001-CX01</w:t>
      </w:r>
    </w:p>
    <w:p>
      <w:pPr>
        <w:pStyle w:val="ListParagraph"/>
        <w:numPr>
          <w:ilvl w:val="0"/>
          <w:numId w:val="3"/>
        </w:numPr>
        <w:spacing w:after="80" w:line="280"/>
      </w:pPr>
      <w:r>
        <w:rPr>
          <w:sz w:val="22"/>
          <w:szCs w:val="22"/>
        </w:rPr>
        <w:t xml:space="preserve">Endereço IP: terceiro octeto identifica a loja, quarto octeto (.111 a .129) identifica a máquina dentro da loja</w:t>
      </w:r>
    </w:p>
    <w:p>
      <w:pPr>
        <w:pStyle w:val="Heading2"/>
        <w:spacing w:after="120" w:before="280"/>
      </w:pPr>
      <w:r>
        <w:rPr>
          <w:b/>
          <w:bCs/>
          <w:color w:val="2E75B6"/>
          <w:sz w:val="24"/>
          <w:szCs w:val="24"/>
        </w:rPr>
        <w:t xml:space="preserve">2.2 Rede das lojas</w:t>
      </w:r>
    </w:p>
    <w:p>
      <w:pPr>
        <w:spacing w:after="160" w:line="300"/>
      </w:pPr>
      <w:r>
        <w:rPr>
          <w:sz w:val="22"/>
          <w:szCs w:val="22"/>
        </w:rPr>
        <w:t xml:space="preserve">As lojas operam sem VPN na maior parte do tempo, com dois links de internet e failover automático entre eles. A operação só é interrompida totalmente em caso de falta de energia. O envio de dados das PDVs para o backend acontece diretamente pela internet aberta, exigindo comunicação via HTTPS e autenticação por chave de API.</w:t>
      </w:r>
    </w:p>
    <w:p>
      <w:pPr>
        <w:pStyle w:val="Heading1"/>
        <w:pBdr>
          <w:bottom w:val="single" w:color="2E75B6" w:sz="6" w:space="4"/>
        </w:pBdr>
        <w:spacing w:after="160" w:before="360"/>
      </w:pPr>
      <w:r>
        <w:rPr>
          <w:b/>
          <w:bCs/>
          <w:color w:val="1F3864"/>
          <w:sz w:val="30"/>
          <w:szCs w:val="30"/>
        </w:rPr>
        <w:t xml:space="preserve">3. Ordem de Desenvolvimento</w:t>
      </w:r>
    </w:p>
    <w:p>
      <w:pPr>
        <w:spacing w:after="160" w:line="300"/>
      </w:pPr>
      <w:r>
        <w:rPr>
          <w:sz w:val="22"/>
          <w:szCs w:val="22"/>
        </w:rPr>
        <w:t xml:space="preserve">Definimos começar pelo backend, para validar o formato de dados antes de construir a interface:</w:t>
      </w:r>
    </w:p>
    <w:p>
      <w:pPr>
        <w:pStyle w:val="ListParagraph"/>
        <w:numPr>
          <w:ilvl w:val="0"/>
          <w:numId w:val="4"/>
        </w:numPr>
        <w:spacing w:after="100" w:line="280"/>
      </w:pPr>
      <w:r>
        <w:rPr>
          <w:sz w:val="22"/>
          <w:szCs w:val="22"/>
        </w:rPr>
        <w:t xml:space="preserve">Modelagem do banco de dados (tabelas de lojas, máquinas e registros de health check).</w:t>
      </w:r>
    </w:p>
    <w:p>
      <w:pPr>
        <w:pStyle w:val="ListParagraph"/>
        <w:numPr>
          <w:ilvl w:val="0"/>
          <w:numId w:val="4"/>
        </w:numPr>
        <w:spacing w:after="100" w:line="280"/>
      </w:pPr>
      <w:r>
        <w:rPr>
          <w:sz w:val="22"/>
          <w:szCs w:val="22"/>
        </w:rPr>
        <w:t xml:space="preserve">Backend/API — endpoints para receber e consultar os dados.</w:t>
      </w:r>
    </w:p>
    <w:p>
      <w:pPr>
        <w:pStyle w:val="ListParagraph"/>
        <w:numPr>
          <w:ilvl w:val="0"/>
          <w:numId w:val="4"/>
        </w:numPr>
        <w:spacing w:after="100" w:line="280"/>
      </w:pPr>
      <w:r>
        <w:rPr>
          <w:sz w:val="22"/>
          <w:szCs w:val="22"/>
        </w:rPr>
        <w:t xml:space="preserve">Testes via Thunder Client, simulando envios antes de existir qualquer script real ou tela.</w:t>
      </w:r>
    </w:p>
    <w:p>
      <w:pPr>
        <w:pStyle w:val="ListParagraph"/>
        <w:numPr>
          <w:ilvl w:val="0"/>
          <w:numId w:val="4"/>
        </w:numPr>
        <w:spacing w:after="100" w:line="280"/>
      </w:pPr>
      <w:r>
        <w:rPr>
          <w:sz w:val="22"/>
          <w:szCs w:val="22"/>
        </w:rPr>
        <w:t xml:space="preserve">Frontend (Next.js), já consumindo dados validados nas etapas anteriores.</w:t>
      </w:r>
    </w:p>
    <w:p>
      <w:pPr>
        <w:pStyle w:val="ListParagraph"/>
        <w:numPr>
          <w:ilvl w:val="0"/>
          <w:numId w:val="4"/>
        </w:numPr>
        <w:spacing w:after="100" w:line="280"/>
      </w:pPr>
      <w:r>
        <w:rPr>
          <w:sz w:val="22"/>
          <w:szCs w:val="22"/>
        </w:rPr>
        <w:t xml:space="preserve">Script PowerShell, desenvolvido a partir do contrato de dados já validado.</w:t>
      </w:r>
    </w:p>
    <w:p>
      <w:pPr>
        <w:pStyle w:val="ListParagraph"/>
        <w:numPr>
          <w:ilvl w:val="0"/>
          <w:numId w:val="4"/>
        </w:numPr>
        <w:spacing w:after="100" w:line="280"/>
      </w:pPr>
      <w:r>
        <w:rPr>
          <w:sz w:val="22"/>
          <w:szCs w:val="22"/>
        </w:rPr>
        <w:t xml:space="preserve">Testes em PDVs reais (1 a 2 lojas) antes da distribuição em massa (via GPO ou PowerShell Remoting).</w:t>
      </w:r>
    </w:p>
    <w:p>
      <w:pPr>
        <w:pStyle w:val="Heading2"/>
        <w:spacing w:after="120" w:before="280"/>
      </w:pPr>
      <w:r>
        <w:rPr>
          <w:b/>
          <w:bCs/>
          <w:color w:val="2E75B6"/>
          <w:sz w:val="24"/>
          <w:szCs w:val="24"/>
        </w:rPr>
        <w:t xml:space="preserve">3.1 Piloto de implantação</w:t>
      </w:r>
    </w:p>
    <w:p>
      <w:pPr>
        <w:spacing w:after="160" w:line="300"/>
      </w:pPr>
      <w:r>
        <w:rPr>
          <w:sz w:val="22"/>
          <w:szCs w:val="22"/>
        </w:rPr>
        <w:t xml:space="preserve">O teste geral inicial será realizado na loja matriz, validando o funcionamento completo do fluxo (coleta, envio, backend e painel) num ambiente controlado antes de expandir. Somente após validação nesse piloto o sistema será estendido para as demais lojas da rede. A documentação será atualizada conforme essa expansão avançar.</w:t>
      </w:r>
    </w:p>
    <w:p>
      <w:pPr>
        <w:pStyle w:val="Heading1"/>
        <w:pBdr>
          <w:bottom w:val="single" w:color="2E75B6" w:sz="6" w:space="4"/>
        </w:pBdr>
        <w:spacing w:after="160" w:before="360"/>
      </w:pPr>
      <w:r>
        <w:rPr>
          <w:b/>
          <w:bCs/>
          <w:color w:val="1F3864"/>
          <w:sz w:val="30"/>
          <w:szCs w:val="30"/>
        </w:rPr>
        <w:t xml:space="preserve">4. Tecnologias Utilizadas</w:t>
      </w:r>
    </w:p>
    <w:p>
      <w:pPr>
        <w:pStyle w:val="Heading2"/>
        <w:spacing w:after="120" w:before="280"/>
      </w:pPr>
      <w:r>
        <w:rPr>
          <w:b/>
          <w:bCs/>
          <w:color w:val="2E75B6"/>
          <w:sz w:val="24"/>
          <w:szCs w:val="24"/>
        </w:rPr>
        <w:t xml:space="preserve">4.1 Backend</w:t>
      </w:r>
    </w:p>
    <w:p>
      <w:pPr>
        <w:pStyle w:val="ListParagraph"/>
        <w:numPr>
          <w:ilvl w:val="0"/>
          <w:numId w:val="3"/>
        </w:numPr>
        <w:spacing w:after="80" w:line="280"/>
      </w:pPr>
      <w:r>
        <w:rPr>
          <w:sz w:val="22"/>
          <w:szCs w:val="22"/>
        </w:rPr>
        <w:t xml:space="preserve">Node.js (Express, ou API Routes dentro do próprio Next.js)</w:t>
      </w:r>
    </w:p>
    <w:p>
      <w:pPr>
        <w:pStyle w:val="ListParagraph"/>
        <w:numPr>
          <w:ilvl w:val="0"/>
          <w:numId w:val="3"/>
        </w:numPr>
        <w:spacing w:after="80" w:line="280"/>
      </w:pPr>
      <w:r>
        <w:rPr>
          <w:sz w:val="22"/>
          <w:szCs w:val="22"/>
        </w:rPr>
        <w:t xml:space="preserve">PostgreSQL — banco de dados relacional, escolhido pela natureza estruturada dos dados de health check e pela necessidade futura de relatórios e agregações</w:t>
      </w:r>
    </w:p>
    <w:p>
      <w:pPr>
        <w:pStyle w:val="ListParagraph"/>
        <w:numPr>
          <w:ilvl w:val="0"/>
          <w:numId w:val="3"/>
        </w:numPr>
        <w:spacing w:after="80" w:line="280"/>
      </w:pPr>
      <w:r>
        <w:rPr>
          <w:sz w:val="22"/>
          <w:szCs w:val="22"/>
        </w:rPr>
        <w:t xml:space="preserve">Prisma — ORM para modelagem do schema, geração de queries automática</w:t>
      </w:r>
    </w:p>
    <w:p>
      <w:pPr>
        <w:pStyle w:val="ListParagraph"/>
        <w:numPr>
          <w:ilvl w:val="0"/>
          <w:numId w:val="3"/>
        </w:numPr>
        <w:spacing w:after="80" w:line="280"/>
      </w:pPr>
      <w:r>
        <w:rPr>
          <w:sz w:val="22"/>
          <w:szCs w:val="22"/>
        </w:rPr>
        <w:t xml:space="preserve">Nginx — proxy reverso, responsável por SSL/HTTPS e roteamento</w:t>
      </w:r>
    </w:p>
    <w:p>
      <w:pPr>
        <w:pStyle w:val="ListParagraph"/>
        <w:numPr>
          <w:ilvl w:val="0"/>
          <w:numId w:val="3"/>
        </w:numPr>
        <w:spacing w:after="80" w:line="280"/>
      </w:pPr>
      <w:r>
        <w:rPr>
          <w:sz w:val="22"/>
          <w:szCs w:val="22"/>
        </w:rPr>
        <w:t xml:space="preserve">PM2 (ou equivalente) — mantém o processo sempre ativo, reiniciando automaticamente em caso de falha</w:t>
      </w:r>
    </w:p>
    <w:p>
      <w:pPr>
        <w:pStyle w:val="ListParagraph"/>
        <w:numPr>
          <w:ilvl w:val="0"/>
          <w:numId w:val="3"/>
        </w:numPr>
        <w:spacing w:after="80" w:line="280"/>
      </w:pPr>
      <w:r>
        <w:rPr>
          <w:sz w:val="22"/>
          <w:szCs w:val="22"/>
        </w:rPr>
        <w:t xml:space="preserve">PostgreSQL instalado de forma nativa no servidor (sem uso de Docker/containers)</w:t>
      </w:r>
    </w:p>
    <w:p>
      <w:pPr>
        <w:pStyle w:val="Heading2"/>
        <w:spacing w:after="120" w:before="280"/>
      </w:pPr>
      <w:r>
        <w:rPr>
          <w:b/>
          <w:bCs/>
          <w:color w:val="2E75B6"/>
          <w:sz w:val="24"/>
          <w:szCs w:val="24"/>
        </w:rPr>
        <w:t xml:space="preserve">4.2 Frontend</w:t>
      </w:r>
    </w:p>
    <w:p>
      <w:pPr>
        <w:pStyle w:val="ListParagraph"/>
        <w:numPr>
          <w:ilvl w:val="0"/>
          <w:numId w:val="3"/>
        </w:numPr>
        <w:spacing w:after="80" w:line="280"/>
      </w:pPr>
      <w:r>
        <w:rPr>
          <w:sz w:val="22"/>
          <w:szCs w:val="22"/>
        </w:rPr>
        <w:t xml:space="preserve">Next.js (React), com App Router</w:t>
      </w:r>
    </w:p>
    <w:p>
      <w:pPr>
        <w:pStyle w:val="ListParagraph"/>
        <w:numPr>
          <w:ilvl w:val="0"/>
          <w:numId w:val="3"/>
        </w:numPr>
        <w:spacing w:after="80" w:line="280"/>
      </w:pPr>
      <w:r>
        <w:rPr>
          <w:sz w:val="22"/>
          <w:szCs w:val="22"/>
        </w:rPr>
        <w:t xml:space="preserve">JavaScript puro — sem uso de TypeScript no projeto</w:t>
      </w:r>
    </w:p>
    <w:p>
      <w:pPr>
        <w:pStyle w:val="ListParagraph"/>
        <w:numPr>
          <w:ilvl w:val="0"/>
          <w:numId w:val="3"/>
        </w:numPr>
        <w:spacing w:after="80" w:line="280"/>
      </w:pPr>
      <w:r>
        <w:rPr>
          <w:sz w:val="22"/>
          <w:szCs w:val="22"/>
        </w:rPr>
        <w:t xml:space="preserve">Import alias (@/*) configurado, para evitar caminhos relativos longos e facilitar manutenção</w:t>
      </w:r>
    </w:p>
    <w:p>
      <w:pPr>
        <w:pStyle w:val="ListParagraph"/>
        <w:numPr>
          <w:ilvl w:val="0"/>
          <w:numId w:val="3"/>
        </w:numPr>
        <w:spacing w:after="80" w:line="280"/>
      </w:pPr>
      <w:r>
        <w:rPr>
          <w:sz w:val="22"/>
          <w:szCs w:val="22"/>
        </w:rPr>
        <w:t xml:space="preserve">TailwindCSS — estilização</w:t>
      </w:r>
    </w:p>
    <w:p>
      <w:pPr>
        <w:pStyle w:val="ListParagraph"/>
        <w:numPr>
          <w:ilvl w:val="0"/>
          <w:numId w:val="3"/>
        </w:numPr>
        <w:spacing w:after="80" w:line="280"/>
      </w:pPr>
      <w:r>
        <w:rPr>
          <w:sz w:val="22"/>
          <w:szCs w:val="22"/>
        </w:rPr>
        <w:t xml:space="preserve">Lucide React — biblioteca de ícones</w:t>
      </w:r>
    </w:p>
    <w:p>
      <w:pPr>
        <w:pStyle w:val="ListParagraph"/>
        <w:numPr>
          <w:ilvl w:val="0"/>
          <w:numId w:val="3"/>
        </w:numPr>
        <w:spacing w:after="80" w:line="280"/>
      </w:pPr>
      <w:r>
        <w:rPr>
          <w:sz w:val="22"/>
          <w:szCs w:val="22"/>
        </w:rPr>
        <w:t xml:space="preserve">Biblioteca de gráficos (ex: Recharts) — histórico e tendências, quando aplicável</w:t>
      </w:r>
    </w:p>
    <w:p>
      <w:pPr>
        <w:pStyle w:val="Heading2"/>
        <w:spacing w:after="120" w:before="280"/>
      </w:pPr>
      <w:r>
        <w:rPr>
          <w:b/>
          <w:bCs/>
          <w:color w:val="2E75B6"/>
          <w:sz w:val="24"/>
          <w:szCs w:val="24"/>
        </w:rPr>
        <w:t xml:space="preserve">4.3 Coleta de dados (agente local)</w:t>
      </w:r>
    </w:p>
    <w:p>
      <w:pPr>
        <w:pStyle w:val="ListParagraph"/>
        <w:numPr>
          <w:ilvl w:val="0"/>
          <w:numId w:val="3"/>
        </w:numPr>
        <w:spacing w:after="80" w:line="280"/>
      </w:pPr>
      <w:r>
        <w:rPr>
          <w:sz w:val="22"/>
          <w:szCs w:val="22"/>
        </w:rPr>
        <w:t xml:space="preserve">PowerShell — script executado periodicamente em cada PDV via Agendador de Tarefas do Windows</w:t>
      </w:r>
    </w:p>
    <w:p>
      <w:pPr>
        <w:pStyle w:val="Heading2"/>
        <w:spacing w:after="120" w:before="280"/>
      </w:pPr>
      <w:r>
        <w:rPr>
          <w:b/>
          <w:bCs/>
          <w:color w:val="2E75B6"/>
          <w:sz w:val="24"/>
          <w:szCs w:val="24"/>
        </w:rPr>
        <w:t xml:space="preserve">4.4 Segurança</w:t>
      </w:r>
    </w:p>
    <w:p>
      <w:pPr>
        <w:pStyle w:val="ListParagraph"/>
        <w:numPr>
          <w:ilvl w:val="0"/>
          <w:numId w:val="3"/>
        </w:numPr>
        <w:spacing w:after="80" w:line="280"/>
      </w:pPr>
      <w:r>
        <w:rPr>
          <w:sz w:val="22"/>
          <w:szCs w:val="22"/>
        </w:rPr>
        <w:t xml:space="preserve">HTTPS obrigatório em todo o tráfego entre as PDVs e o backend</w:t>
      </w:r>
    </w:p>
    <w:p>
      <w:pPr>
        <w:pStyle w:val="ListParagraph"/>
        <w:numPr>
          <w:ilvl w:val="0"/>
          <w:numId w:val="3"/>
        </w:numPr>
        <w:spacing w:after="80" w:line="280"/>
      </w:pPr>
      <w:r>
        <w:rPr>
          <w:sz w:val="22"/>
          <w:szCs w:val="22"/>
        </w:rPr>
        <w:t xml:space="preserve">Autenticação por chave de API única por loja/máquina</w:t>
      </w:r>
    </w:p>
    <w:p>
      <w:pPr>
        <w:pStyle w:val="ListParagraph"/>
        <w:numPr>
          <w:ilvl w:val="0"/>
          <w:numId w:val="3"/>
        </w:numPr>
        <w:spacing w:after="80" w:line="280"/>
      </w:pPr>
      <w:r>
        <w:rPr>
          <w:sz w:val="22"/>
          <w:szCs w:val="22"/>
        </w:rPr>
        <w:t xml:space="preserve">Possível uso de DMZ ou firewall restritivo, conforme definição do time de infraestrutura</w:t>
      </w:r>
    </w:p>
    <w:p>
      <w:pPr>
        <w:pStyle w:val="Heading2"/>
        <w:spacing w:after="120" w:before="280"/>
      </w:pPr>
      <w:r>
        <w:rPr>
          <w:b/>
          <w:bCs/>
          <w:color w:val="2E75B6"/>
          <w:sz w:val="24"/>
          <w:szCs w:val="24"/>
        </w:rPr>
        <w:t xml:space="preserve">4.5 Ferramentas de apoio ao desenvolvimento</w:t>
      </w:r>
    </w:p>
    <w:p>
      <w:pPr>
        <w:pStyle w:val="ListParagraph"/>
        <w:numPr>
          <w:ilvl w:val="0"/>
          <w:numId w:val="3"/>
        </w:numPr>
        <w:spacing w:after="80" w:line="280"/>
      </w:pPr>
      <w:r>
        <w:rPr>
          <w:sz w:val="22"/>
          <w:szCs w:val="22"/>
        </w:rPr>
        <w:t xml:space="preserve">VSCode com extensão do Prisma</w:t>
      </w:r>
    </w:p>
    <w:p>
      <w:pPr>
        <w:pStyle w:val="ListParagraph"/>
        <w:numPr>
          <w:ilvl w:val="0"/>
          <w:numId w:val="3"/>
        </w:numPr>
        <w:spacing w:after="80" w:line="280"/>
      </w:pPr>
      <w:r>
        <w:rPr>
          <w:sz w:val="22"/>
          <w:szCs w:val="22"/>
        </w:rPr>
        <w:t xml:space="preserve">Thunder Client — testes de API</w:t>
      </w:r>
    </w:p>
    <w:p>
      <w:pPr>
        <w:pStyle w:val="ListParagraph"/>
        <w:numPr>
          <w:ilvl w:val="0"/>
          <w:numId w:val="3"/>
        </w:numPr>
        <w:spacing w:after="80" w:line="280"/>
      </w:pPr>
      <w:r>
        <w:rPr>
          <w:sz w:val="22"/>
          <w:szCs w:val="22"/>
        </w:rPr>
        <w:t xml:space="preserve">Prisma Studio — visualização e edição dos dados do banco durante o desenvolvimento</w:t>
      </w:r>
    </w:p>
    <w:p>
      <w:pPr>
        <w:pStyle w:val="Heading1"/>
        <w:pBdr>
          <w:bottom w:val="single" w:color="2E75B6" w:sz="6" w:space="4"/>
        </w:pBdr>
        <w:spacing w:after="160" w:before="360"/>
      </w:pPr>
      <w:r>
        <w:rPr>
          <w:b/>
          <w:bCs/>
          <w:color w:val="1F3864"/>
          <w:sz w:val="30"/>
          <w:szCs w:val="30"/>
        </w:rPr>
        <w:t xml:space="preserve">5. Estrutura de Pastas</w:t>
      </w:r>
    </w:p>
    <w:p>
      <w:pPr>
        <w:spacing w:after="160" w:line="300"/>
      </w:pPr>
      <w:r>
        <w:rPr>
          <w:sz w:val="22"/>
          <w:szCs w:val="22"/>
        </w:rPr>
        <w:t xml:space="preserve">O projeto é um único projeto Next.js (frontend e backend vivem juntos, via API Routes), organizado internamente por responsabilidade — uma área clara para o que é frontend e outra para o que é backend, mesmo estando na mesma instalação: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EAF1F8" w:val="clear"/>
            <w:tcMar>
              <w:top w:type="dxa" w:w="100"/>
              <w:left w:type="dxa" w:w="120"/>
              <w:bottom w:type="dxa" w:w="100"/>
              <w:right w:type="dxa" w:w="120"/>
            </w:tcMar>
          </w:tcPr>
          <w:p>
            <w:r>
              <w:rPr>
                <w:b/>
                <w:bCs/>
                <w:color w:val="000000"/>
                <w:sz w:val="20"/>
                <w:szCs w:val="20"/>
              </w:rPr>
              <w:t xml:space="preserve">Pasta</w:t>
            </w:r>
          </w:p>
        </w:tc>
        <w:tc>
          <w:tcPr>
            <w:tcW w:type="dxa" w:w="5160"/>
            <w:shd w:fill="EAF1F8" w:val="clear"/>
            <w:tcMar>
              <w:top w:type="dxa" w:w="100"/>
              <w:left w:type="dxa" w:w="120"/>
              <w:bottom w:type="dxa" w:w="100"/>
              <w:right w:type="dxa" w:w="120"/>
            </w:tcMar>
          </w:tcPr>
          <w:p>
            <w:r>
              <w:rPr>
                <w:b/>
                <w:bCs/>
                <w:color w:val="000000"/>
                <w:sz w:val="20"/>
                <w:szCs w:val="20"/>
              </w:rPr>
              <w:t xml:space="preserve">Conteúdo</w:t>
            </w:r>
          </w:p>
        </w:tc>
      </w:tr>
      <w:tr>
        <w:tc>
          <w:tcPr>
            <w:tcW w:type="dxa" w:w="4200"/>
            <w:tcMar>
              <w:top w:type="dxa" w:w="100"/>
              <w:left w:type="dxa" w:w="120"/>
              <w:bottom w:type="dxa" w:w="100"/>
              <w:right w:type="dxa" w:w="120"/>
            </w:tcMar>
          </w:tcPr>
          <w:p>
            <w:r>
              <w:rPr>
                <w:b w:val="false"/>
                <w:bCs w:val="false"/>
                <w:color w:val="000000"/>
                <w:sz w:val="20"/>
                <w:szCs w:val="20"/>
              </w:rPr>
              <w:t xml:space="preserve">app/api/</w:t>
            </w:r>
          </w:p>
        </w:tc>
        <w:tc>
          <w:tcPr>
            <w:tcW w:type="dxa" w:w="5160"/>
            <w:tcMar>
              <w:top w:type="dxa" w:w="100"/>
              <w:left w:type="dxa" w:w="120"/>
              <w:bottom w:type="dxa" w:w="100"/>
              <w:right w:type="dxa" w:w="120"/>
            </w:tcMar>
          </w:tcPr>
          <w:p>
            <w:r>
              <w:rPr>
                <w:b w:val="false"/>
                <w:bCs w:val="false"/>
                <w:color w:val="000000"/>
                <w:sz w:val="20"/>
                <w:szCs w:val="20"/>
              </w:rPr>
              <w:t xml:space="preserve">Backend — rotas de API que recebem e disponibilizam os dados de health check</w:t>
            </w:r>
          </w:p>
        </w:tc>
      </w:tr>
      <w:tr>
        <w:tc>
          <w:tcPr>
            <w:tcW w:type="dxa" w:w="4200"/>
            <w:tcMar>
              <w:top w:type="dxa" w:w="100"/>
              <w:left w:type="dxa" w:w="120"/>
              <w:bottom w:type="dxa" w:w="100"/>
              <w:right w:type="dxa" w:w="120"/>
            </w:tcMar>
          </w:tcPr>
          <w:p>
            <w:r>
              <w:rPr>
                <w:b w:val="false"/>
                <w:bCs w:val="false"/>
                <w:color w:val="000000"/>
                <w:sz w:val="20"/>
                <w:szCs w:val="20"/>
              </w:rPr>
              <w:t xml:space="preserve">app/dashboard/ (e demais páginas)</w:t>
            </w:r>
          </w:p>
        </w:tc>
        <w:tc>
          <w:tcPr>
            <w:tcW w:type="dxa" w:w="5160"/>
            <w:tcMar>
              <w:top w:type="dxa" w:w="100"/>
              <w:left w:type="dxa" w:w="120"/>
              <w:bottom w:type="dxa" w:w="100"/>
              <w:right w:type="dxa" w:w="120"/>
            </w:tcMar>
          </w:tcPr>
          <w:p>
            <w:r>
              <w:rPr>
                <w:b w:val="false"/>
                <w:bCs w:val="false"/>
                <w:color w:val="000000"/>
                <w:sz w:val="20"/>
                <w:szCs w:val="20"/>
              </w:rPr>
              <w:t xml:space="preserve">Frontend — telas e páginas do painel</w:t>
            </w:r>
          </w:p>
        </w:tc>
      </w:tr>
      <w:tr>
        <w:tc>
          <w:tcPr>
            <w:tcW w:type="dxa" w:w="4200"/>
            <w:tcMar>
              <w:top w:type="dxa" w:w="100"/>
              <w:left w:type="dxa" w:w="120"/>
              <w:bottom w:type="dxa" w:w="100"/>
              <w:right w:type="dxa" w:w="120"/>
            </w:tcMar>
          </w:tcPr>
          <w:p>
            <w:r>
              <w:rPr>
                <w:b w:val="false"/>
                <w:bCs w:val="false"/>
                <w:color w:val="000000"/>
                <w:sz w:val="20"/>
                <w:szCs w:val="20"/>
              </w:rPr>
              <w:t xml:space="preserve">components/</w:t>
            </w:r>
          </w:p>
        </w:tc>
        <w:tc>
          <w:tcPr>
            <w:tcW w:type="dxa" w:w="5160"/>
            <w:tcMar>
              <w:top w:type="dxa" w:w="100"/>
              <w:left w:type="dxa" w:w="120"/>
              <w:bottom w:type="dxa" w:w="100"/>
              <w:right w:type="dxa" w:w="120"/>
            </w:tcMar>
          </w:tcPr>
          <w:p>
            <w:r>
              <w:rPr>
                <w:b w:val="false"/>
                <w:bCs w:val="false"/>
                <w:color w:val="000000"/>
                <w:sz w:val="20"/>
                <w:szCs w:val="20"/>
              </w:rPr>
              <w:t xml:space="preserve">Frontend — componentes visuais reutilizáveis (cards de loja, badges de status, etc.)</w:t>
            </w:r>
          </w:p>
        </w:tc>
      </w:tr>
      <w:tr>
        <w:tc>
          <w:tcPr>
            <w:tcW w:type="dxa" w:w="4200"/>
            <w:tcMar>
              <w:top w:type="dxa" w:w="100"/>
              <w:left w:type="dxa" w:w="120"/>
              <w:bottom w:type="dxa" w:w="100"/>
              <w:right w:type="dxa" w:w="120"/>
            </w:tcMar>
          </w:tcPr>
          <w:p>
            <w:r>
              <w:rPr>
                <w:b w:val="false"/>
                <w:bCs w:val="false"/>
                <w:color w:val="000000"/>
                <w:sz w:val="20"/>
                <w:szCs w:val="20"/>
              </w:rPr>
              <w:t xml:space="preserve">lib/</w:t>
            </w:r>
          </w:p>
        </w:tc>
        <w:tc>
          <w:tcPr>
            <w:tcW w:type="dxa" w:w="5160"/>
            <w:tcMar>
              <w:top w:type="dxa" w:w="100"/>
              <w:left w:type="dxa" w:w="120"/>
              <w:bottom w:type="dxa" w:w="100"/>
              <w:right w:type="dxa" w:w="120"/>
            </w:tcMar>
          </w:tcPr>
          <w:p>
            <w:r>
              <w:rPr>
                <w:b w:val="false"/>
                <w:bCs w:val="false"/>
                <w:color w:val="000000"/>
                <w:sz w:val="20"/>
                <w:szCs w:val="20"/>
              </w:rPr>
              <w:t xml:space="preserve">Backend — conexão com o banco, funções auxiliares/regra de negócio</w:t>
            </w:r>
          </w:p>
        </w:tc>
      </w:tr>
      <w:tr>
        <w:tc>
          <w:tcPr>
            <w:tcW w:type="dxa" w:w="4200"/>
            <w:tcMar>
              <w:top w:type="dxa" w:w="100"/>
              <w:left w:type="dxa" w:w="120"/>
              <w:bottom w:type="dxa" w:w="100"/>
              <w:right w:type="dxa" w:w="120"/>
            </w:tcMar>
          </w:tcPr>
          <w:p>
            <w:r>
              <w:rPr>
                <w:b w:val="false"/>
                <w:bCs w:val="false"/>
                <w:color w:val="000000"/>
                <w:sz w:val="20"/>
                <w:szCs w:val="20"/>
              </w:rPr>
              <w:t xml:space="preserve">prisma/</w:t>
            </w:r>
          </w:p>
        </w:tc>
        <w:tc>
          <w:tcPr>
            <w:tcW w:type="dxa" w:w="5160"/>
            <w:tcMar>
              <w:top w:type="dxa" w:w="100"/>
              <w:left w:type="dxa" w:w="120"/>
              <w:bottom w:type="dxa" w:w="100"/>
              <w:right w:type="dxa" w:w="120"/>
            </w:tcMar>
          </w:tcPr>
          <w:p>
            <w:r>
              <w:rPr>
                <w:b w:val="false"/>
                <w:bCs w:val="false"/>
                <w:color w:val="000000"/>
                <w:sz w:val="20"/>
                <w:szCs w:val="20"/>
              </w:rPr>
              <w:t xml:space="preserve">Schema do banco de dados e configuração do Prisma</w:t>
            </w:r>
          </w:p>
        </w:tc>
      </w:tr>
      <w:tr>
        <w:tc>
          <w:tcPr>
            <w:tcW w:type="dxa" w:w="4200"/>
            <w:tcMar>
              <w:top w:type="dxa" w:w="100"/>
              <w:left w:type="dxa" w:w="120"/>
              <w:bottom w:type="dxa" w:w="100"/>
              <w:right w:type="dxa" w:w="120"/>
            </w:tcMar>
          </w:tcPr>
          <w:p>
            <w:r>
              <w:rPr>
                <w:b w:val="false"/>
                <w:bCs w:val="false"/>
                <w:color w:val="000000"/>
                <w:sz w:val="20"/>
                <w:szCs w:val="20"/>
              </w:rPr>
              <w:t xml:space="preserve">scripts/</w:t>
            </w:r>
          </w:p>
        </w:tc>
        <w:tc>
          <w:tcPr>
            <w:tcW w:type="dxa" w:w="5160"/>
            <w:tcMar>
              <w:top w:type="dxa" w:w="100"/>
              <w:left w:type="dxa" w:w="120"/>
              <w:bottom w:type="dxa" w:w="100"/>
              <w:right w:type="dxa" w:w="120"/>
            </w:tcMar>
          </w:tcPr>
          <w:p>
            <w:r>
              <w:rPr>
                <w:b w:val="false"/>
                <w:bCs w:val="false"/>
                <w:color w:val="000000"/>
                <w:sz w:val="20"/>
                <w:szCs w:val="20"/>
              </w:rPr>
              <w:t xml:space="preserve">Script PowerShell de coleta — fica fora da aplicação web, apenas versionado junto por conveniência</w:t>
            </w:r>
          </w:p>
        </w:tc>
      </w:tr>
    </w:tbl>
    <w:p>
      <w:pPr>
        <w:spacing w:after="160" w:line="300"/>
      </w:pPr>
      <w:r>
        <w:rPr>
          <w:sz w:val="22"/>
          <w:szCs w:val="22"/>
        </w:rPr>
        <w:t xml:space="preserve">Essa organização evita misturar lógica de frontend e backend nos mesmos arquivos, mesmo o projeto sendo uma instalação única do Next.js, sem necessidade de repositórios ou instalações separadas.</w:t>
      </w:r>
    </w:p>
    <w:p>
      <w:pPr>
        <w:pStyle w:val="Heading1"/>
        <w:pBdr>
          <w:bottom w:val="single" w:color="2E75B6" w:sz="6" w:space="4"/>
        </w:pBdr>
        <w:spacing w:after="160" w:before="360"/>
      </w:pPr>
      <w:r>
        <w:rPr>
          <w:b/>
          <w:bCs/>
          <w:color w:val="1F3864"/>
          <w:sz w:val="30"/>
          <w:szCs w:val="30"/>
        </w:rPr>
        <w:t xml:space="preserve">6. Identidade Visual</w:t>
      </w:r>
    </w:p>
    <w:p>
      <w:pPr>
        <w:spacing w:after="160" w:line="300"/>
      </w:pPr>
      <w:r>
        <w:rPr>
          <w:sz w:val="22"/>
          <w:szCs w:val="22"/>
        </w:rPr>
        <w:t xml:space="preserve">O projeto usa TailwindCSS para toda a estilização do painel, com uma paleta de cores customizada definida pela equipe, pensada para um painel escuro com boa leitura de status.</w:t>
      </w:r>
    </w:p>
    <w:p>
      <w:pPr>
        <w:pStyle w:val="Heading2"/>
        <w:spacing w:after="120" w:before="280"/>
      </w:pPr>
      <w:r>
        <w:rPr>
          <w:b/>
          <w:bCs/>
          <w:color w:val="2E75B6"/>
          <w:sz w:val="24"/>
          <w:szCs w:val="24"/>
        </w:rPr>
        <w:t xml:space="preserve">6.1 Paleta de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shd w:fill="EAF1F8" w:val="clear"/>
            <w:tcMar>
              <w:top w:type="dxa" w:w="100"/>
              <w:left w:type="dxa" w:w="120"/>
              <w:bottom w:type="dxa" w:w="100"/>
              <w:right w:type="dxa" w:w="120"/>
            </w:tcMar>
          </w:tcPr>
          <w:p>
            <w:r>
              <w:rPr>
                <w:b/>
                <w:bCs/>
                <w:color w:val="000000"/>
                <w:sz w:val="20"/>
                <w:szCs w:val="20"/>
              </w:rPr>
              <w:t xml:space="preserve">Uso</w:t>
            </w:r>
          </w:p>
        </w:tc>
        <w:tc>
          <w:tcPr>
            <w:tcW w:type="dxa" w:w="1800"/>
            <w:shd w:fill="EAF1F8" w:val="clear"/>
            <w:tcMar>
              <w:top w:type="dxa" w:w="100"/>
              <w:left w:type="dxa" w:w="120"/>
              <w:bottom w:type="dxa" w:w="100"/>
              <w:right w:type="dxa" w:w="120"/>
            </w:tcMar>
          </w:tcPr>
          <w:p>
            <w:r>
              <w:rPr>
                <w:b/>
                <w:bCs/>
                <w:color w:val="000000"/>
                <w:sz w:val="20"/>
                <w:szCs w:val="20"/>
              </w:rPr>
              <w:t xml:space="preserve">Cor</w:t>
            </w:r>
          </w:p>
        </w:tc>
        <w:tc>
          <w:tcPr>
            <w:tcW w:type="dxa" w:w="4160"/>
            <w:shd w:fill="EAF1F8" w:val="clear"/>
            <w:tcMar>
              <w:top w:type="dxa" w:w="100"/>
              <w:left w:type="dxa" w:w="120"/>
              <w:bottom w:type="dxa" w:w="100"/>
              <w:right w:type="dxa" w:w="120"/>
            </w:tcMar>
          </w:tcPr>
          <w:p>
            <w:r>
              <w:rPr>
                <w:b/>
                <w:bCs/>
                <w:color w:val="000000"/>
                <w:sz w:val="20"/>
                <w:szCs w:val="20"/>
              </w:rPr>
              <w:t xml:space="preserve">Aplicação</w:t>
            </w:r>
          </w:p>
        </w:tc>
      </w:tr>
      <w:tr>
        <w:tc>
          <w:tcPr>
            <w:tcW w:type="dxa" w:w="3400"/>
            <w:tcMar>
              <w:top w:type="dxa" w:w="100"/>
              <w:left w:type="dxa" w:w="120"/>
              <w:bottom w:type="dxa" w:w="100"/>
              <w:right w:type="dxa" w:w="120"/>
            </w:tcMar>
          </w:tcPr>
          <w:p>
            <w:r>
              <w:rPr>
                <w:b w:val="false"/>
                <w:bCs w:val="false"/>
                <w:color w:val="000000"/>
                <w:sz w:val="20"/>
                <w:szCs w:val="20"/>
              </w:rPr>
              <w:t xml:space="preserve">Fundo principal</w:t>
            </w:r>
          </w:p>
        </w:tc>
        <w:tc>
          <w:tcPr>
            <w:tcW w:type="dxa" w:w="1800"/>
            <w:tcMar>
              <w:top w:type="dxa" w:w="100"/>
              <w:left w:type="dxa" w:w="120"/>
              <w:bottom w:type="dxa" w:w="100"/>
              <w:right w:type="dxa" w:w="120"/>
            </w:tcMar>
          </w:tcPr>
          <w:p>
            <w:r>
              <w:rPr>
                <w:b w:val="false"/>
                <w:bCs w:val="false"/>
                <w:color w:val="000000"/>
                <w:sz w:val="20"/>
                <w:szCs w:val="20"/>
              </w:rPr>
              <w:t xml:space="preserve">#0A0307</w:t>
            </w:r>
          </w:p>
        </w:tc>
        <w:tc>
          <w:tcPr>
            <w:tcW w:type="dxa" w:w="4160"/>
            <w:tcMar>
              <w:top w:type="dxa" w:w="100"/>
              <w:left w:type="dxa" w:w="120"/>
              <w:bottom w:type="dxa" w:w="100"/>
              <w:right w:type="dxa" w:w="120"/>
            </w:tcMar>
          </w:tcPr>
          <w:p>
            <w:r>
              <w:rPr>
                <w:b w:val="false"/>
                <w:bCs w:val="false"/>
                <w:color w:val="000000"/>
                <w:sz w:val="20"/>
                <w:szCs w:val="20"/>
              </w:rPr>
              <w:t xml:space="preserve">Fundo geral do painel</w:t>
            </w:r>
          </w:p>
        </w:tc>
      </w:tr>
      <w:tr>
        <w:tc>
          <w:tcPr>
            <w:tcW w:type="dxa" w:w="3400"/>
            <w:tcMar>
              <w:top w:type="dxa" w:w="100"/>
              <w:left w:type="dxa" w:w="120"/>
              <w:bottom w:type="dxa" w:w="100"/>
              <w:right w:type="dxa" w:w="120"/>
            </w:tcMar>
          </w:tcPr>
          <w:p>
            <w:r>
              <w:rPr>
                <w:b w:val="false"/>
                <w:bCs w:val="false"/>
                <w:color w:val="000000"/>
                <w:sz w:val="20"/>
                <w:szCs w:val="20"/>
              </w:rPr>
              <w:t xml:space="preserve">Texto</w:t>
            </w:r>
          </w:p>
        </w:tc>
        <w:tc>
          <w:tcPr>
            <w:tcW w:type="dxa" w:w="1800"/>
            <w:tcMar>
              <w:top w:type="dxa" w:w="100"/>
              <w:left w:type="dxa" w:w="120"/>
              <w:bottom w:type="dxa" w:w="100"/>
              <w:right w:type="dxa" w:w="120"/>
            </w:tcMar>
          </w:tcPr>
          <w:p>
            <w:r>
              <w:rPr>
                <w:b w:val="false"/>
                <w:bCs w:val="false"/>
                <w:color w:val="000000"/>
                <w:sz w:val="20"/>
                <w:szCs w:val="20"/>
              </w:rPr>
              <w:t xml:space="preserve">#EBEBEB</w:t>
            </w:r>
          </w:p>
        </w:tc>
        <w:tc>
          <w:tcPr>
            <w:tcW w:type="dxa" w:w="4160"/>
            <w:tcMar>
              <w:top w:type="dxa" w:w="100"/>
              <w:left w:type="dxa" w:w="120"/>
              <w:bottom w:type="dxa" w:w="100"/>
              <w:right w:type="dxa" w:w="120"/>
            </w:tcMar>
          </w:tcPr>
          <w:p>
            <w:r>
              <w:rPr>
                <w:b w:val="false"/>
                <w:bCs w:val="false"/>
                <w:color w:val="000000"/>
                <w:sz w:val="20"/>
                <w:szCs w:val="20"/>
              </w:rPr>
              <w:t xml:space="preserve">Textos sobre o fundo escuro</w:t>
            </w:r>
          </w:p>
        </w:tc>
      </w:tr>
      <w:tr>
        <w:tc>
          <w:tcPr>
            <w:tcW w:type="dxa" w:w="3400"/>
            <w:tcMar>
              <w:top w:type="dxa" w:w="100"/>
              <w:left w:type="dxa" w:w="120"/>
              <w:bottom w:type="dxa" w:w="100"/>
              <w:right w:type="dxa" w:w="120"/>
            </w:tcMar>
          </w:tcPr>
          <w:p>
            <w:r>
              <w:rPr>
                <w:b w:val="false"/>
                <w:bCs w:val="false"/>
                <w:color w:val="000000"/>
                <w:sz w:val="20"/>
                <w:szCs w:val="20"/>
              </w:rPr>
              <w:t xml:space="preserve">Crítico</w:t>
            </w:r>
          </w:p>
        </w:tc>
        <w:tc>
          <w:tcPr>
            <w:tcW w:type="dxa" w:w="1800"/>
            <w:tcMar>
              <w:top w:type="dxa" w:w="100"/>
              <w:left w:type="dxa" w:w="120"/>
              <w:bottom w:type="dxa" w:w="100"/>
              <w:right w:type="dxa" w:w="120"/>
            </w:tcMar>
          </w:tcPr>
          <w:p>
            <w:r>
              <w:rPr>
                <w:b w:val="false"/>
                <w:bCs w:val="false"/>
                <w:color w:val="000000"/>
                <w:sz w:val="20"/>
                <w:szCs w:val="20"/>
              </w:rPr>
              <w:t xml:space="preserve">#E60925</w:t>
            </w:r>
          </w:p>
        </w:tc>
        <w:tc>
          <w:tcPr>
            <w:tcW w:type="dxa" w:w="4160"/>
            <w:tcMar>
              <w:top w:type="dxa" w:w="100"/>
              <w:left w:type="dxa" w:w="120"/>
              <w:bottom w:type="dxa" w:w="100"/>
              <w:right w:type="dxa" w:w="120"/>
            </w:tcMar>
          </w:tcPr>
          <w:p>
            <w:r>
              <w:rPr>
                <w:b w:val="false"/>
                <w:bCs w:val="false"/>
                <w:color w:val="000000"/>
                <w:sz w:val="20"/>
                <w:szCs w:val="20"/>
              </w:rPr>
              <w:t xml:space="preserve">Status crítico (ex: serviço parado)</w:t>
            </w:r>
          </w:p>
        </w:tc>
      </w:tr>
      <w:tr>
        <w:tc>
          <w:tcPr>
            <w:tcW w:type="dxa" w:w="3400"/>
            <w:tcMar>
              <w:top w:type="dxa" w:w="100"/>
              <w:left w:type="dxa" w:w="120"/>
              <w:bottom w:type="dxa" w:w="100"/>
              <w:right w:type="dxa" w:w="120"/>
            </w:tcMar>
          </w:tcPr>
          <w:p>
            <w:r>
              <w:rPr>
                <w:b w:val="false"/>
                <w:bCs w:val="false"/>
                <w:color w:val="000000"/>
                <w:sz w:val="20"/>
                <w:szCs w:val="20"/>
              </w:rPr>
              <w:t xml:space="preserve">Normal / saudável</w:t>
            </w:r>
          </w:p>
        </w:tc>
        <w:tc>
          <w:tcPr>
            <w:tcW w:type="dxa" w:w="1800"/>
            <w:tcMar>
              <w:top w:type="dxa" w:w="100"/>
              <w:left w:type="dxa" w:w="120"/>
              <w:bottom w:type="dxa" w:w="100"/>
              <w:right w:type="dxa" w:w="120"/>
            </w:tcMar>
          </w:tcPr>
          <w:p>
            <w:r>
              <w:rPr>
                <w:b w:val="false"/>
                <w:bCs w:val="false"/>
                <w:color w:val="000000"/>
                <w:sz w:val="20"/>
                <w:szCs w:val="20"/>
              </w:rPr>
              <w:t xml:space="preserve">#2E826D</w:t>
            </w:r>
          </w:p>
        </w:tc>
        <w:tc>
          <w:tcPr>
            <w:tcW w:type="dxa" w:w="4160"/>
            <w:tcMar>
              <w:top w:type="dxa" w:w="100"/>
              <w:left w:type="dxa" w:w="120"/>
              <w:bottom w:type="dxa" w:w="100"/>
              <w:right w:type="dxa" w:w="120"/>
            </w:tcMar>
          </w:tcPr>
          <w:p>
            <w:r>
              <w:rPr>
                <w:b w:val="false"/>
                <w:bCs w:val="false"/>
                <w:color w:val="000000"/>
                <w:sz w:val="20"/>
                <w:szCs w:val="20"/>
              </w:rPr>
              <w:t xml:space="preserve">Status normal/saudável da máquina</w:t>
            </w:r>
          </w:p>
        </w:tc>
      </w:tr>
      <w:tr>
        <w:tc>
          <w:tcPr>
            <w:tcW w:type="dxa" w:w="3400"/>
            <w:tcMar>
              <w:top w:type="dxa" w:w="100"/>
              <w:left w:type="dxa" w:w="120"/>
              <w:bottom w:type="dxa" w:w="100"/>
              <w:right w:type="dxa" w:w="120"/>
            </w:tcMar>
          </w:tcPr>
          <w:p>
            <w:r>
              <w:rPr>
                <w:b w:val="false"/>
                <w:bCs w:val="false"/>
                <w:color w:val="000000"/>
                <w:sz w:val="20"/>
                <w:szCs w:val="20"/>
              </w:rPr>
              <w:t xml:space="preserve">Atenção</w:t>
            </w:r>
          </w:p>
        </w:tc>
        <w:tc>
          <w:tcPr>
            <w:tcW w:type="dxa" w:w="1800"/>
            <w:tcMar>
              <w:top w:type="dxa" w:w="100"/>
              <w:left w:type="dxa" w:w="120"/>
              <w:bottom w:type="dxa" w:w="100"/>
              <w:right w:type="dxa" w:w="120"/>
            </w:tcMar>
          </w:tcPr>
          <w:p>
            <w:r>
              <w:rPr>
                <w:b w:val="false"/>
                <w:bCs w:val="false"/>
                <w:color w:val="000000"/>
                <w:sz w:val="20"/>
                <w:szCs w:val="20"/>
              </w:rPr>
              <w:t xml:space="preserve">#D9A62E</w:t>
            </w:r>
          </w:p>
        </w:tc>
        <w:tc>
          <w:tcPr>
            <w:tcW w:type="dxa" w:w="4160"/>
            <w:tcMar>
              <w:top w:type="dxa" w:w="100"/>
              <w:left w:type="dxa" w:w="120"/>
              <w:bottom w:type="dxa" w:w="100"/>
              <w:right w:type="dxa" w:w="120"/>
            </w:tcMar>
          </w:tcPr>
          <w:p>
            <w:r>
              <w:rPr>
                <w:b w:val="false"/>
                <w:bCs w:val="false"/>
                <w:color w:val="000000"/>
                <w:sz w:val="20"/>
                <w:szCs w:val="20"/>
              </w:rPr>
              <w:t xml:space="preserve">Status intermediário (ex: disco quase cheio)</w:t>
            </w:r>
          </w:p>
        </w:tc>
      </w:tr>
      <w:tr>
        <w:tc>
          <w:tcPr>
            <w:tcW w:type="dxa" w:w="3400"/>
            <w:tcMar>
              <w:top w:type="dxa" w:w="100"/>
              <w:left w:type="dxa" w:w="120"/>
              <w:bottom w:type="dxa" w:w="100"/>
              <w:right w:type="dxa" w:w="120"/>
            </w:tcMar>
          </w:tcPr>
          <w:p>
            <w:r>
              <w:rPr>
                <w:b w:val="false"/>
                <w:bCs w:val="false"/>
                <w:color w:val="000000"/>
                <w:sz w:val="20"/>
                <w:szCs w:val="20"/>
              </w:rPr>
              <w:t xml:space="preserve">Destaque / ação</w:t>
            </w:r>
          </w:p>
        </w:tc>
        <w:tc>
          <w:tcPr>
            <w:tcW w:type="dxa" w:w="1800"/>
            <w:tcMar>
              <w:top w:type="dxa" w:w="100"/>
              <w:left w:type="dxa" w:w="120"/>
              <w:bottom w:type="dxa" w:w="100"/>
              <w:right w:type="dxa" w:w="120"/>
            </w:tcMar>
          </w:tcPr>
          <w:p>
            <w:r>
              <w:rPr>
                <w:b w:val="false"/>
                <w:bCs w:val="false"/>
                <w:color w:val="000000"/>
                <w:sz w:val="20"/>
                <w:szCs w:val="20"/>
              </w:rPr>
              <w:t xml:space="preserve">#3E8FB0</w:t>
            </w:r>
          </w:p>
        </w:tc>
        <w:tc>
          <w:tcPr>
            <w:tcW w:type="dxa" w:w="4160"/>
            <w:tcMar>
              <w:top w:type="dxa" w:w="100"/>
              <w:left w:type="dxa" w:w="120"/>
              <w:bottom w:type="dxa" w:w="100"/>
              <w:right w:type="dxa" w:w="120"/>
            </w:tcMar>
          </w:tcPr>
          <w:p>
            <w:r>
              <w:rPr>
                <w:b w:val="false"/>
                <w:bCs w:val="false"/>
                <w:color w:val="000000"/>
                <w:sz w:val="20"/>
                <w:szCs w:val="20"/>
              </w:rPr>
              <w:t xml:space="preserve">Botões, links, elementos interativos e seleção de loja</w:t>
            </w:r>
          </w:p>
        </w:tc>
      </w:tr>
    </w:tbl>
    <w:p>
      <w:pPr>
        <w:spacing w:after="160" w:line="300"/>
      </w:pPr>
      <w:r>
        <w:rPr>
          <w:sz w:val="22"/>
          <w:szCs w:val="22"/>
        </w:rPr>
        <w:t xml:space="preserve">Lógica de status no estilo "semáforo": verde (normal) → âmbar (atenção) → vermelho (crítico), facilitando a leitura rápida da situação de cada loja/máquina.</w:t>
      </w:r>
    </w:p>
    <w:p>
      <w:pPr>
        <w:pStyle w:val="Heading2"/>
        <w:spacing w:after="120" w:before="280"/>
      </w:pPr>
      <w:r>
        <w:rPr>
          <w:b/>
          <w:bCs/>
          <w:color w:val="2E75B6"/>
          <w:sz w:val="24"/>
          <w:szCs w:val="24"/>
        </w:rPr>
        <w:t xml:space="preserve">6.2 Tipografia</w:t>
      </w:r>
    </w:p>
    <w:p>
      <w:pPr>
        <w:spacing w:after="160" w:line="300"/>
      </w:pPr>
      <w:r>
        <w:rPr>
          <w:sz w:val="22"/>
          <w:szCs w:val="22"/>
        </w:rPr>
        <w:t xml:space="preserve">Fonte do projeto: Roboto (sans-serif), aplicada em todo o painel — títulos, textos e elementos de interface. Deve ser importada via next/font (Google Fonts) para otimizar carregamento e evitar troca de fonte perceptível (FOUT) na renderização das páginas.</w:t>
      </w:r>
    </w:p>
    <w:p>
      <w:pPr>
        <w:pStyle w:val="Heading2"/>
        <w:spacing w:after="120" w:before="280"/>
      </w:pPr>
      <w:r>
        <w:rPr>
          <w:b/>
          <w:bCs/>
          <w:color w:val="2E75B6"/>
          <w:sz w:val="24"/>
          <w:szCs w:val="24"/>
        </w:rPr>
        <w:t xml:space="preserve">6.3 Ícones</w:t>
      </w:r>
    </w:p>
    <w:p>
      <w:pPr>
        <w:spacing w:after="160" w:line="300"/>
      </w:pPr>
      <w:r>
        <w:rPr>
          <w:sz w:val="22"/>
          <w:szCs w:val="22"/>
        </w:rPr>
        <w:t xml:space="preserve">Biblioteca de ícones: Lucide React (lucide-react) — ícones leves em estilo outline, que se integram bem com Tailwind (estilização via className/color) e cobrem os casos necessários para o painel: indicadores de status (alerta, sucesso, erro), disco, serviço, impressora e rede.</w:t>
      </w:r>
    </w:p>
    <w:p>
      <w:pPr>
        <w:pStyle w:val="Heading1"/>
        <w:pBdr>
          <w:bottom w:val="single" w:color="2E75B6" w:sz="6" w:space="4"/>
        </w:pBdr>
        <w:spacing w:after="160" w:before="360"/>
      </w:pPr>
      <w:r>
        <w:rPr>
          <w:b/>
          <w:bCs/>
          <w:color w:val="1F3864"/>
          <w:sz w:val="30"/>
          <w:szCs w:val="30"/>
        </w:rPr>
        <w:t xml:space="preserve">7. Escopo Inicial</w:t>
      </w:r>
    </w:p>
    <w:p>
      <w:pPr>
        <w:spacing w:after="160" w:line="300"/>
      </w:pPr>
      <w:r>
        <w:rPr>
          <w:sz w:val="22"/>
          <w:szCs w:val="22"/>
        </w:rPr>
        <w:t xml:space="preserve">Na primeira fase, o projeto contempla exclusivamente as máquinas de PDV (caixas). Notebooks e outros tipos de equipamento ficam previstos para uma fase futura.</w:t>
      </w:r>
    </w:p>
    <w:p>
      <w:pPr>
        <w:pStyle w:val="Heading2"/>
        <w:spacing w:after="120" w:before="280"/>
      </w:pPr>
      <w:r>
        <w:rPr>
          <w:b/>
          <w:bCs/>
          <w:color w:val="2E75B6"/>
          <w:sz w:val="24"/>
          <w:szCs w:val="24"/>
        </w:rPr>
        <w:t xml:space="preserve">7.1 Lojas contempladas</w:t>
      </w:r>
    </w:p>
    <w:p>
      <w:pPr>
        <w:spacing w:after="160" w:line="300"/>
      </w:pPr>
      <w:r>
        <w:rPr>
          <w:sz w:val="22"/>
          <w:szCs w:val="22"/>
        </w:rPr>
        <w:t xml:space="preserve">Lista das lojas da rede que farão parte do monitoramento, cada uma seguindo o padrão de identificação já definido (nome de computador L{loja}-CX{caixa} e IP com terceiro octeto correspondente ao código da 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EAF1F8" w:val="clear"/>
            <w:tcMar>
              <w:top w:type="dxa" w:w="100"/>
              <w:left w:type="dxa" w:w="120"/>
              <w:bottom w:type="dxa" w:w="100"/>
              <w:right w:type="dxa" w:w="120"/>
            </w:tcMar>
          </w:tcPr>
          <w:p>
            <w:r>
              <w:rPr>
                <w:b/>
                <w:bCs/>
                <w:color w:val="000000"/>
                <w:sz w:val="20"/>
                <w:szCs w:val="20"/>
              </w:rPr>
              <w:t xml:space="preserve">Código</w:t>
            </w:r>
          </w:p>
        </w:tc>
        <w:tc>
          <w:tcPr>
            <w:tcW w:type="dxa" w:w="7760"/>
            <w:shd w:fill="EAF1F8" w:val="clear"/>
            <w:tcMar>
              <w:top w:type="dxa" w:w="100"/>
              <w:left w:type="dxa" w:w="120"/>
              <w:bottom w:type="dxa" w:w="100"/>
              <w:right w:type="dxa" w:w="120"/>
            </w:tcMar>
          </w:tcPr>
          <w:p>
            <w:r>
              <w:rPr>
                <w:b/>
                <w:bCs/>
                <w:color w:val="000000"/>
                <w:sz w:val="20"/>
                <w:szCs w:val="20"/>
              </w:rPr>
              <w:t xml:space="preserve">Loja</w:t>
            </w:r>
          </w:p>
        </w:tc>
      </w:tr>
      <w:tr>
        <w:tc>
          <w:tcPr>
            <w:tcW w:type="dxa" w:w="1600"/>
            <w:tcMar>
              <w:top w:type="dxa" w:w="100"/>
              <w:left w:type="dxa" w:w="120"/>
              <w:bottom w:type="dxa" w:w="100"/>
              <w:right w:type="dxa" w:w="120"/>
            </w:tcMar>
          </w:tcPr>
          <w:p>
            <w:r>
              <w:rPr>
                <w:b w:val="false"/>
                <w:bCs w:val="false"/>
                <w:color w:val="000000"/>
                <w:sz w:val="20"/>
                <w:szCs w:val="20"/>
              </w:rPr>
              <w:t xml:space="preserve">001</w:t>
            </w:r>
          </w:p>
        </w:tc>
        <w:tc>
          <w:tcPr>
            <w:tcW w:type="dxa" w:w="7760"/>
            <w:tcMar>
              <w:top w:type="dxa" w:w="100"/>
              <w:left w:type="dxa" w:w="120"/>
              <w:bottom w:type="dxa" w:w="100"/>
              <w:right w:type="dxa" w:w="120"/>
            </w:tcMar>
          </w:tcPr>
          <w:p>
            <w:r>
              <w:rPr>
                <w:b w:val="false"/>
                <w:bCs w:val="false"/>
                <w:color w:val="000000"/>
                <w:sz w:val="20"/>
                <w:szCs w:val="20"/>
              </w:rPr>
              <w:t xml:space="preserve">Matriz</w:t>
            </w:r>
          </w:p>
        </w:tc>
      </w:tr>
      <w:tr>
        <w:tc>
          <w:tcPr>
            <w:tcW w:type="dxa" w:w="1600"/>
            <w:tcMar>
              <w:top w:type="dxa" w:w="100"/>
              <w:left w:type="dxa" w:w="120"/>
              <w:bottom w:type="dxa" w:w="100"/>
              <w:right w:type="dxa" w:w="120"/>
            </w:tcMar>
          </w:tcPr>
          <w:p>
            <w:r>
              <w:rPr>
                <w:b w:val="false"/>
                <w:bCs w:val="false"/>
                <w:color w:val="000000"/>
                <w:sz w:val="20"/>
                <w:szCs w:val="20"/>
              </w:rPr>
              <w:t xml:space="preserve">005</w:t>
            </w:r>
          </w:p>
        </w:tc>
        <w:tc>
          <w:tcPr>
            <w:tcW w:type="dxa" w:w="7760"/>
            <w:tcMar>
              <w:top w:type="dxa" w:w="100"/>
              <w:left w:type="dxa" w:w="120"/>
              <w:bottom w:type="dxa" w:w="100"/>
              <w:right w:type="dxa" w:w="120"/>
            </w:tcMar>
          </w:tcPr>
          <w:p>
            <w:r>
              <w:rPr>
                <w:b w:val="false"/>
                <w:bCs w:val="false"/>
                <w:color w:val="000000"/>
                <w:sz w:val="20"/>
                <w:szCs w:val="20"/>
              </w:rPr>
              <w:t xml:space="preserve">Moreira Lima</w:t>
            </w:r>
          </w:p>
        </w:tc>
      </w:tr>
      <w:tr>
        <w:tc>
          <w:tcPr>
            <w:tcW w:type="dxa" w:w="1600"/>
            <w:tcMar>
              <w:top w:type="dxa" w:w="100"/>
              <w:left w:type="dxa" w:w="120"/>
              <w:bottom w:type="dxa" w:w="100"/>
              <w:right w:type="dxa" w:w="120"/>
            </w:tcMar>
          </w:tcPr>
          <w:p>
            <w:r>
              <w:rPr>
                <w:b w:val="false"/>
                <w:bCs w:val="false"/>
                <w:color w:val="000000"/>
                <w:sz w:val="20"/>
                <w:szCs w:val="20"/>
              </w:rPr>
              <w:t xml:space="preserve">006</w:t>
            </w:r>
          </w:p>
        </w:tc>
        <w:tc>
          <w:tcPr>
            <w:tcW w:type="dxa" w:w="7760"/>
            <w:tcMar>
              <w:top w:type="dxa" w:w="100"/>
              <w:left w:type="dxa" w:w="120"/>
              <w:bottom w:type="dxa" w:w="100"/>
              <w:right w:type="dxa" w:w="120"/>
            </w:tcMar>
          </w:tcPr>
          <w:p>
            <w:r>
              <w:rPr>
                <w:b w:val="false"/>
                <w:bCs w:val="false"/>
                <w:color w:val="000000"/>
                <w:sz w:val="20"/>
                <w:szCs w:val="20"/>
              </w:rPr>
              <w:t xml:space="preserve">Maceió Shopping</w:t>
            </w:r>
          </w:p>
        </w:tc>
      </w:tr>
      <w:tr>
        <w:tc>
          <w:tcPr>
            <w:tcW w:type="dxa" w:w="1600"/>
            <w:tcMar>
              <w:top w:type="dxa" w:w="100"/>
              <w:left w:type="dxa" w:w="120"/>
              <w:bottom w:type="dxa" w:w="100"/>
              <w:right w:type="dxa" w:w="120"/>
            </w:tcMar>
          </w:tcPr>
          <w:p>
            <w:r>
              <w:rPr>
                <w:b w:val="false"/>
                <w:bCs w:val="false"/>
                <w:color w:val="000000"/>
                <w:sz w:val="20"/>
                <w:szCs w:val="20"/>
              </w:rPr>
              <w:t xml:space="preserve">007</w:t>
            </w:r>
          </w:p>
        </w:tc>
        <w:tc>
          <w:tcPr>
            <w:tcW w:type="dxa" w:w="7760"/>
            <w:tcMar>
              <w:top w:type="dxa" w:w="100"/>
              <w:left w:type="dxa" w:w="120"/>
              <w:bottom w:type="dxa" w:w="100"/>
              <w:right w:type="dxa" w:w="120"/>
            </w:tcMar>
          </w:tcPr>
          <w:p>
            <w:r>
              <w:rPr>
                <w:b w:val="false"/>
                <w:bCs w:val="false"/>
                <w:color w:val="000000"/>
                <w:sz w:val="20"/>
                <w:szCs w:val="20"/>
              </w:rPr>
              <w:t xml:space="preserve">Sams Club Gruta</w:t>
            </w:r>
          </w:p>
        </w:tc>
      </w:tr>
      <w:tr>
        <w:tc>
          <w:tcPr>
            <w:tcW w:type="dxa" w:w="1600"/>
            <w:tcMar>
              <w:top w:type="dxa" w:w="100"/>
              <w:left w:type="dxa" w:w="120"/>
              <w:bottom w:type="dxa" w:w="100"/>
              <w:right w:type="dxa" w:w="120"/>
            </w:tcMar>
          </w:tcPr>
          <w:p>
            <w:r>
              <w:rPr>
                <w:b w:val="false"/>
                <w:bCs w:val="false"/>
                <w:color w:val="000000"/>
                <w:sz w:val="20"/>
                <w:szCs w:val="20"/>
              </w:rPr>
              <w:t xml:space="preserve">009</w:t>
            </w:r>
          </w:p>
        </w:tc>
        <w:tc>
          <w:tcPr>
            <w:tcW w:type="dxa" w:w="7760"/>
            <w:tcMar>
              <w:top w:type="dxa" w:w="100"/>
              <w:left w:type="dxa" w:w="120"/>
              <w:bottom w:type="dxa" w:w="100"/>
              <w:right w:type="dxa" w:w="120"/>
            </w:tcMar>
          </w:tcPr>
          <w:p>
            <w:r>
              <w:rPr>
                <w:b w:val="false"/>
                <w:bCs w:val="false"/>
                <w:color w:val="000000"/>
                <w:sz w:val="20"/>
                <w:szCs w:val="20"/>
              </w:rPr>
              <w:t xml:space="preserve">Rua do Comércio</w:t>
            </w:r>
          </w:p>
        </w:tc>
      </w:tr>
      <w:tr>
        <w:tc>
          <w:tcPr>
            <w:tcW w:type="dxa" w:w="1600"/>
            <w:tcMar>
              <w:top w:type="dxa" w:w="100"/>
              <w:left w:type="dxa" w:w="120"/>
              <w:bottom w:type="dxa" w:w="100"/>
              <w:right w:type="dxa" w:w="120"/>
            </w:tcMar>
          </w:tcPr>
          <w:p>
            <w:r>
              <w:rPr>
                <w:b w:val="false"/>
                <w:bCs w:val="false"/>
                <w:color w:val="000000"/>
                <w:sz w:val="20"/>
                <w:szCs w:val="20"/>
              </w:rPr>
              <w:t xml:space="preserve">011</w:t>
            </w:r>
          </w:p>
        </w:tc>
        <w:tc>
          <w:tcPr>
            <w:tcW w:type="dxa" w:w="7760"/>
            <w:tcMar>
              <w:top w:type="dxa" w:w="100"/>
              <w:left w:type="dxa" w:w="120"/>
              <w:bottom w:type="dxa" w:w="100"/>
              <w:right w:type="dxa" w:w="120"/>
            </w:tcMar>
          </w:tcPr>
          <w:p>
            <w:r>
              <w:rPr>
                <w:b w:val="false"/>
                <w:bCs w:val="false"/>
                <w:color w:val="000000"/>
                <w:sz w:val="20"/>
                <w:szCs w:val="20"/>
              </w:rPr>
              <w:t xml:space="preserve">Rua do Livramento</w:t>
            </w:r>
          </w:p>
        </w:tc>
      </w:tr>
      <w:tr>
        <w:tc>
          <w:tcPr>
            <w:tcW w:type="dxa" w:w="1600"/>
            <w:tcMar>
              <w:top w:type="dxa" w:w="100"/>
              <w:left w:type="dxa" w:w="120"/>
              <w:bottom w:type="dxa" w:w="100"/>
              <w:right w:type="dxa" w:w="120"/>
            </w:tcMar>
          </w:tcPr>
          <w:p>
            <w:r>
              <w:rPr>
                <w:b w:val="false"/>
                <w:bCs w:val="false"/>
                <w:color w:val="000000"/>
                <w:sz w:val="20"/>
                <w:szCs w:val="20"/>
              </w:rPr>
              <w:t xml:space="preserve">013</w:t>
            </w:r>
          </w:p>
        </w:tc>
        <w:tc>
          <w:tcPr>
            <w:tcW w:type="dxa" w:w="7760"/>
            <w:tcMar>
              <w:top w:type="dxa" w:w="100"/>
              <w:left w:type="dxa" w:w="120"/>
              <w:bottom w:type="dxa" w:w="100"/>
              <w:right w:type="dxa" w:w="120"/>
            </w:tcMar>
          </w:tcPr>
          <w:p>
            <w:r>
              <w:rPr>
                <w:b w:val="false"/>
                <w:bCs w:val="false"/>
                <w:color w:val="000000"/>
                <w:sz w:val="20"/>
                <w:szCs w:val="20"/>
              </w:rPr>
              <w:t xml:space="preserve">Aracaju Centro - 01</w:t>
            </w:r>
          </w:p>
        </w:tc>
      </w:tr>
      <w:tr>
        <w:tc>
          <w:tcPr>
            <w:tcW w:type="dxa" w:w="1600"/>
            <w:tcMar>
              <w:top w:type="dxa" w:w="100"/>
              <w:left w:type="dxa" w:w="120"/>
              <w:bottom w:type="dxa" w:w="100"/>
              <w:right w:type="dxa" w:w="120"/>
            </w:tcMar>
          </w:tcPr>
          <w:p>
            <w:r>
              <w:rPr>
                <w:b w:val="false"/>
                <w:bCs w:val="false"/>
                <w:color w:val="000000"/>
                <w:sz w:val="20"/>
                <w:szCs w:val="20"/>
              </w:rPr>
              <w:t xml:space="preserve">014</w:t>
            </w:r>
          </w:p>
        </w:tc>
        <w:tc>
          <w:tcPr>
            <w:tcW w:type="dxa" w:w="7760"/>
            <w:tcMar>
              <w:top w:type="dxa" w:w="100"/>
              <w:left w:type="dxa" w:w="120"/>
              <w:bottom w:type="dxa" w:w="100"/>
              <w:right w:type="dxa" w:w="120"/>
            </w:tcMar>
          </w:tcPr>
          <w:p>
            <w:r>
              <w:rPr>
                <w:b w:val="false"/>
                <w:bCs w:val="false"/>
                <w:color w:val="000000"/>
                <w:sz w:val="20"/>
                <w:szCs w:val="20"/>
              </w:rPr>
              <w:t xml:space="preserve">Aracaju Shopping</w:t>
            </w:r>
          </w:p>
        </w:tc>
      </w:tr>
      <w:tr>
        <w:tc>
          <w:tcPr>
            <w:tcW w:type="dxa" w:w="1600"/>
            <w:tcMar>
              <w:top w:type="dxa" w:w="100"/>
              <w:left w:type="dxa" w:w="120"/>
              <w:bottom w:type="dxa" w:w="100"/>
              <w:right w:type="dxa" w:w="120"/>
            </w:tcMar>
          </w:tcPr>
          <w:p>
            <w:r>
              <w:rPr>
                <w:b w:val="false"/>
                <w:bCs w:val="false"/>
                <w:color w:val="000000"/>
                <w:sz w:val="20"/>
                <w:szCs w:val="20"/>
              </w:rPr>
              <w:t xml:space="preserve">016</w:t>
            </w:r>
          </w:p>
        </w:tc>
        <w:tc>
          <w:tcPr>
            <w:tcW w:type="dxa" w:w="7760"/>
            <w:tcMar>
              <w:top w:type="dxa" w:w="100"/>
              <w:left w:type="dxa" w:w="120"/>
              <w:bottom w:type="dxa" w:w="100"/>
              <w:right w:type="dxa" w:w="120"/>
            </w:tcMar>
          </w:tcPr>
          <w:p>
            <w:r>
              <w:rPr>
                <w:b w:val="false"/>
                <w:bCs w:val="false"/>
                <w:color w:val="000000"/>
                <w:sz w:val="20"/>
                <w:szCs w:val="20"/>
              </w:rPr>
              <w:t xml:space="preserve">Arapiraca Centro</w:t>
            </w:r>
          </w:p>
        </w:tc>
      </w:tr>
      <w:tr>
        <w:tc>
          <w:tcPr>
            <w:tcW w:type="dxa" w:w="1600"/>
            <w:tcMar>
              <w:top w:type="dxa" w:w="100"/>
              <w:left w:type="dxa" w:w="120"/>
              <w:bottom w:type="dxa" w:w="100"/>
              <w:right w:type="dxa" w:w="120"/>
            </w:tcMar>
          </w:tcPr>
          <w:p>
            <w:r>
              <w:rPr>
                <w:b w:val="false"/>
                <w:bCs w:val="false"/>
                <w:color w:val="000000"/>
                <w:sz w:val="20"/>
                <w:szCs w:val="20"/>
              </w:rPr>
              <w:t xml:space="preserve">020</w:t>
            </w:r>
          </w:p>
        </w:tc>
        <w:tc>
          <w:tcPr>
            <w:tcW w:type="dxa" w:w="7760"/>
            <w:tcMar>
              <w:top w:type="dxa" w:w="100"/>
              <w:left w:type="dxa" w:w="120"/>
              <w:bottom w:type="dxa" w:w="100"/>
              <w:right w:type="dxa" w:w="120"/>
            </w:tcMar>
          </w:tcPr>
          <w:p>
            <w:r>
              <w:rPr>
                <w:b w:val="false"/>
                <w:bCs w:val="false"/>
                <w:color w:val="000000"/>
                <w:sz w:val="20"/>
                <w:szCs w:val="20"/>
              </w:rPr>
              <w:t xml:space="preserve">Depósito</w:t>
            </w:r>
          </w:p>
        </w:tc>
      </w:tr>
      <w:tr>
        <w:tc>
          <w:tcPr>
            <w:tcW w:type="dxa" w:w="1600"/>
            <w:tcMar>
              <w:top w:type="dxa" w:w="100"/>
              <w:left w:type="dxa" w:w="120"/>
              <w:bottom w:type="dxa" w:w="100"/>
              <w:right w:type="dxa" w:w="120"/>
            </w:tcMar>
          </w:tcPr>
          <w:p>
            <w:r>
              <w:rPr>
                <w:b w:val="false"/>
                <w:bCs w:val="false"/>
                <w:color w:val="000000"/>
                <w:sz w:val="20"/>
                <w:szCs w:val="20"/>
              </w:rPr>
              <w:t xml:space="preserve">021</w:t>
            </w:r>
          </w:p>
        </w:tc>
        <w:tc>
          <w:tcPr>
            <w:tcW w:type="dxa" w:w="7760"/>
            <w:tcMar>
              <w:top w:type="dxa" w:w="100"/>
              <w:left w:type="dxa" w:w="120"/>
              <w:bottom w:type="dxa" w:w="100"/>
              <w:right w:type="dxa" w:w="120"/>
            </w:tcMar>
          </w:tcPr>
          <w:p>
            <w:r>
              <w:rPr>
                <w:b w:val="false"/>
                <w:bCs w:val="false"/>
                <w:color w:val="000000"/>
                <w:sz w:val="20"/>
                <w:szCs w:val="20"/>
              </w:rPr>
              <w:t xml:space="preserve">Aracaju Centro - 02</w:t>
            </w:r>
          </w:p>
        </w:tc>
      </w:tr>
      <w:tr>
        <w:tc>
          <w:tcPr>
            <w:tcW w:type="dxa" w:w="1600"/>
            <w:tcMar>
              <w:top w:type="dxa" w:w="100"/>
              <w:left w:type="dxa" w:w="120"/>
              <w:bottom w:type="dxa" w:w="100"/>
              <w:right w:type="dxa" w:w="120"/>
            </w:tcMar>
          </w:tcPr>
          <w:p>
            <w:r>
              <w:rPr>
                <w:b w:val="false"/>
                <w:bCs w:val="false"/>
                <w:color w:val="000000"/>
                <w:sz w:val="20"/>
                <w:szCs w:val="20"/>
              </w:rPr>
              <w:t xml:space="preserve">022</w:t>
            </w:r>
          </w:p>
        </w:tc>
        <w:tc>
          <w:tcPr>
            <w:tcW w:type="dxa" w:w="7760"/>
            <w:tcMar>
              <w:top w:type="dxa" w:w="100"/>
              <w:left w:type="dxa" w:w="120"/>
              <w:bottom w:type="dxa" w:w="100"/>
              <w:right w:type="dxa" w:w="120"/>
            </w:tcMar>
          </w:tcPr>
          <w:p>
            <w:r>
              <w:rPr>
                <w:b w:val="false"/>
                <w:bCs w:val="false"/>
                <w:color w:val="000000"/>
                <w:sz w:val="20"/>
                <w:szCs w:val="20"/>
              </w:rPr>
              <w:t xml:space="preserve">Shopping Pátio</w:t>
            </w:r>
          </w:p>
        </w:tc>
      </w:tr>
      <w:tr>
        <w:tc>
          <w:tcPr>
            <w:tcW w:type="dxa" w:w="1600"/>
            <w:tcMar>
              <w:top w:type="dxa" w:w="100"/>
              <w:left w:type="dxa" w:w="120"/>
              <w:bottom w:type="dxa" w:w="100"/>
              <w:right w:type="dxa" w:w="120"/>
            </w:tcMar>
          </w:tcPr>
          <w:p>
            <w:r>
              <w:rPr>
                <w:b w:val="false"/>
                <w:bCs w:val="false"/>
                <w:color w:val="000000"/>
                <w:sz w:val="20"/>
                <w:szCs w:val="20"/>
              </w:rPr>
              <w:t xml:space="preserve">029</w:t>
            </w:r>
          </w:p>
        </w:tc>
        <w:tc>
          <w:tcPr>
            <w:tcW w:type="dxa" w:w="7760"/>
            <w:tcMar>
              <w:top w:type="dxa" w:w="100"/>
              <w:left w:type="dxa" w:w="120"/>
              <w:bottom w:type="dxa" w:w="100"/>
              <w:right w:type="dxa" w:w="120"/>
            </w:tcMar>
          </w:tcPr>
          <w:p>
            <w:r>
              <w:rPr>
                <w:b w:val="false"/>
                <w:bCs w:val="false"/>
                <w:color w:val="000000"/>
                <w:sz w:val="20"/>
                <w:szCs w:val="20"/>
              </w:rPr>
              <w:t xml:space="preserve">Arapiraca Shopping</w:t>
            </w:r>
          </w:p>
        </w:tc>
      </w:tr>
      <w:tr>
        <w:tc>
          <w:tcPr>
            <w:tcW w:type="dxa" w:w="1600"/>
            <w:tcMar>
              <w:top w:type="dxa" w:w="100"/>
              <w:left w:type="dxa" w:w="120"/>
              <w:bottom w:type="dxa" w:w="100"/>
              <w:right w:type="dxa" w:w="120"/>
            </w:tcMar>
          </w:tcPr>
          <w:p>
            <w:r>
              <w:rPr>
                <w:b w:val="false"/>
                <w:bCs w:val="false"/>
                <w:color w:val="000000"/>
                <w:sz w:val="20"/>
                <w:szCs w:val="20"/>
              </w:rPr>
              <w:t xml:space="preserve">036</w:t>
            </w:r>
          </w:p>
        </w:tc>
        <w:tc>
          <w:tcPr>
            <w:tcW w:type="dxa" w:w="7760"/>
            <w:tcMar>
              <w:top w:type="dxa" w:w="100"/>
              <w:left w:type="dxa" w:w="120"/>
              <w:bottom w:type="dxa" w:w="100"/>
              <w:right w:type="dxa" w:w="120"/>
            </w:tcMar>
          </w:tcPr>
          <w:p>
            <w:r>
              <w:rPr>
                <w:b w:val="false"/>
                <w:bCs w:val="false"/>
                <w:color w:val="000000"/>
                <w:sz w:val="20"/>
                <w:szCs w:val="20"/>
              </w:rPr>
              <w:t xml:space="preserve">Jacintinho</w:t>
            </w:r>
          </w:p>
        </w:tc>
      </w:tr>
      <w:tr>
        <w:tc>
          <w:tcPr>
            <w:tcW w:type="dxa" w:w="1600"/>
            <w:tcMar>
              <w:top w:type="dxa" w:w="100"/>
              <w:left w:type="dxa" w:w="120"/>
              <w:bottom w:type="dxa" w:w="100"/>
              <w:right w:type="dxa" w:w="120"/>
            </w:tcMar>
          </w:tcPr>
          <w:p>
            <w:r>
              <w:rPr>
                <w:b w:val="false"/>
                <w:bCs w:val="false"/>
                <w:color w:val="000000"/>
                <w:sz w:val="20"/>
                <w:szCs w:val="20"/>
              </w:rPr>
              <w:t xml:space="preserve">039</w:t>
            </w:r>
          </w:p>
        </w:tc>
        <w:tc>
          <w:tcPr>
            <w:tcW w:type="dxa" w:w="7760"/>
            <w:tcMar>
              <w:top w:type="dxa" w:w="100"/>
              <w:left w:type="dxa" w:w="120"/>
              <w:bottom w:type="dxa" w:w="100"/>
              <w:right w:type="dxa" w:w="120"/>
            </w:tcMar>
          </w:tcPr>
          <w:p>
            <w:r>
              <w:rPr>
                <w:b w:val="false"/>
                <w:bCs w:val="false"/>
                <w:color w:val="000000"/>
                <w:sz w:val="20"/>
                <w:szCs w:val="20"/>
              </w:rPr>
              <w:t xml:space="preserve">Outlet</w:t>
            </w:r>
          </w:p>
        </w:tc>
      </w:tr>
      <w:tr>
        <w:tc>
          <w:tcPr>
            <w:tcW w:type="dxa" w:w="1600"/>
            <w:tcMar>
              <w:top w:type="dxa" w:w="100"/>
              <w:left w:type="dxa" w:w="120"/>
              <w:bottom w:type="dxa" w:w="100"/>
              <w:right w:type="dxa" w:w="120"/>
            </w:tcMar>
          </w:tcPr>
          <w:p>
            <w:r>
              <w:rPr>
                <w:b w:val="false"/>
                <w:bCs w:val="false"/>
                <w:color w:val="000000"/>
                <w:sz w:val="20"/>
                <w:szCs w:val="20"/>
              </w:rPr>
              <w:t xml:space="preserve">043</w:t>
            </w:r>
          </w:p>
        </w:tc>
        <w:tc>
          <w:tcPr>
            <w:tcW w:type="dxa" w:w="7760"/>
            <w:tcMar>
              <w:top w:type="dxa" w:w="100"/>
              <w:left w:type="dxa" w:w="120"/>
              <w:bottom w:type="dxa" w:w="100"/>
              <w:right w:type="dxa" w:w="120"/>
            </w:tcMar>
          </w:tcPr>
          <w:p>
            <w:r>
              <w:rPr>
                <w:b w:val="false"/>
                <w:bCs w:val="false"/>
                <w:color w:val="000000"/>
                <w:sz w:val="20"/>
                <w:szCs w:val="20"/>
              </w:rPr>
              <w:t xml:space="preserve">Palmeira dos Índios</w:t>
            </w:r>
          </w:p>
        </w:tc>
      </w:tr>
    </w:tbl>
    <w:p>
      <w:pPr>
        <w:spacing w:after="160" w:line="300"/>
      </w:pPr>
      <w:r>
        <w:rPr>
          <w:sz w:val="22"/>
          <w:szCs w:val="22"/>
        </w:rPr>
        <w:t xml:space="preserve">Essa lista alimenta diretamente o seletor de lojas do painel, permitindo visualizar o status detalhado de cada unidade individualmente.</w:t>
      </w:r>
    </w:p>
    <w:p>
      <w:pPr>
        <w:pStyle w:val="Heading1"/>
        <w:pBdr>
          <w:bottom w:val="single" w:color="2E75B6" w:sz="6" w:space="4"/>
        </w:pBdr>
        <w:spacing w:after="160" w:before="360"/>
      </w:pPr>
      <w:r>
        <w:rPr>
          <w:b/>
          <w:bCs/>
          <w:color w:val="1F3864"/>
          <w:sz w:val="30"/>
          <w:szCs w:val="30"/>
        </w:rPr>
        <w:t xml:space="preserve">8. Observações</w:t>
      </w:r>
    </w:p>
    <w:p>
      <w:pPr>
        <w:spacing w:after="160" w:line="300"/>
      </w:pPr>
      <w:r>
        <w:rPr>
          <w:sz w:val="22"/>
          <w:szCs w:val="22"/>
        </w:rPr>
        <w:t xml:space="preserve">Este documento reflete o planejamento e as decisões técnicas atuais do projeto, e será atualizado conforme novas definições forem tomadas.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2026-09-08T18:22:00.285Z</dcterms:created>
  <dcterms:modified xsi:type="dcterms:W3CDTF">2026-09-08T18:22:00.297Z</dcterms:modified>
</cp:coreProperties>
</file>

<file path=docProps/custom.xml><?xml version="1.0" encoding="utf-8"?>
<Properties xmlns="http://schemas.openxmlformats.org/officeDocument/2006/custom-properties" xmlns:vt="http://schemas.openxmlformats.org/officeDocument/2006/docPropsVTypes"/>
</file>