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595959"/>
          <w:sz w:val="20"/>
          <w:szCs w:val="20"/>
        </w:rPr>
        <w:t xml:space="preserve">DOCUMENTAÇÃO — AMBIENTE DE TESTE LOCAL</w:t>
      </w:r>
    </w:p>
    <w:p>
      <w:pPr>
        <w:spacing w:after="40"/>
      </w:pPr>
      <w:r>
        <w:rPr>
          <w:b/>
          <w:bCs/>
          <w:color w:val="1F3864"/>
          <w:sz w:val="40"/>
          <w:szCs w:val="40"/>
        </w:rPr>
        <w:t xml:space="preserve">Health Check PDVs — Teste Local (Notebook)</w:t>
      </w:r>
    </w:p>
    <w:p>
      <w:pPr>
        <w:spacing w:after="360"/>
      </w:pPr>
      <w:r>
        <w:rPr>
          <w:i/>
          <w:iCs/>
          <w:color w:val="595959"/>
          <w:sz w:val="22"/>
          <w:szCs w:val="22"/>
        </w:rPr>
        <w:t xml:space="preserve">Versão enxuta para validação do fluxo completo antes do piloto na loja matriz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shd w:fill="EAF1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Objetivo</w:t>
            </w:r>
          </w:p>
        </w:tc>
        <w:tc>
          <w:tcPr>
            <w:tcW w:type="dxa" w:w="69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Validar o fluxo coleta → envio → banco → painel, de forma isolada e local</w:t>
            </w:r>
          </w:p>
        </w:tc>
      </w:tr>
      <w:tr>
        <w:tc>
          <w:tcPr>
            <w:tcW w:type="dxa" w:w="2400"/>
            <w:shd w:fill="EAF1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Ambiente</w:t>
            </w:r>
          </w:p>
        </w:tc>
        <w:tc>
          <w:tcPr>
            <w:tcW w:type="dxa" w:w="69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Notebook pessoal, sem conexão com servidor da empresa ou dados reais</w:t>
            </w:r>
          </w:p>
        </w:tc>
      </w:tr>
      <w:tr>
        <w:tc>
          <w:tcPr>
            <w:tcW w:type="dxa" w:w="2400"/>
            <w:shd w:fill="EAF1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Banco de dados</w:t>
            </w:r>
          </w:p>
        </w:tc>
        <w:tc>
          <w:tcPr>
            <w:tcW w:type="dxa" w:w="69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PostgreSQL local — banco healthcheck_teste</w:t>
            </w:r>
          </w:p>
        </w:tc>
      </w:tr>
    </w:tbl>
    <w:p>
      <w:pPr>
        <w:pStyle w:val="Heading1"/>
        <w:pBdr>
          <w:bottom w:val="single" w:color="2E75B6" w:sz="6" w:space="4"/>
        </w:pBdr>
        <w:spacing w:after="160" w:before="360"/>
      </w:pPr>
      <w:r>
        <w:rPr>
          <w:b/>
          <w:bCs/>
          <w:color w:val="1F3864"/>
          <w:sz w:val="30"/>
          <w:szCs w:val="30"/>
        </w:rPr>
        <w:t xml:space="preserve">1. Como Funciona Este Teste</w:t>
      </w:r>
    </w:p>
    <w:p>
      <w:pPr>
        <w:spacing w:after="160" w:line="300"/>
      </w:pPr>
      <w:r>
        <w:rPr>
          <w:sz w:val="22"/>
          <w:szCs w:val="22"/>
        </w:rPr>
        <w:t xml:space="preserve">Este é um ambiente isolado para validar, na prática, o mesmo fluxo que o projeto principal usará nas lojas — só que rodando inteiramente no notebook, com dados simulados, sem depender de PDV real ou do servidor da empresa.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sz w:val="22"/>
          <w:szCs w:val="22"/>
        </w:rPr>
        <w:t xml:space="preserve">O script PowerShell roda manualmente no notebook, coletando dados de teste (ex: serviço genérico do Windows, espaço em disco).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sz w:val="22"/>
          <w:szCs w:val="22"/>
        </w:rPr>
        <w:t xml:space="preserve">Os dados são enviados para uma API Route dentro do próprio projeto Next.js.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sz w:val="22"/>
          <w:szCs w:val="22"/>
        </w:rPr>
        <w:t xml:space="preserve">A API grava os dados no banco PostgreSQL local (healthcheck_teste).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sz w:val="22"/>
          <w:szCs w:val="22"/>
        </w:rPr>
        <w:t xml:space="preserve">O frontend lê e exibe esses dados no painel.</w:t>
      </w:r>
    </w:p>
    <w:p>
      <w:pPr>
        <w:spacing w:after="160" w:line="300"/>
      </w:pPr>
      <w:r>
        <w:rPr>
          <w:sz w:val="22"/>
          <w:szCs w:val="22"/>
        </w:rPr>
        <w:t xml:space="preserve">Identificador da máquina de teste: como o notebook não segue o padrão de nome L{loja}-CX{caixa}, será usado um valor fixo (ex: L999-TESTE) só para esta fase.</w:t>
      </w:r>
    </w:p>
    <w:p>
      <w:pPr>
        <w:pStyle w:val="Heading1"/>
        <w:pBdr>
          <w:bottom w:val="single" w:color="2E75B6" w:sz="6" w:space="4"/>
        </w:pBdr>
        <w:spacing w:after="160" w:before="360"/>
      </w:pPr>
      <w:r>
        <w:rPr>
          <w:b/>
          <w:bCs/>
          <w:color w:val="1F3864"/>
          <w:sz w:val="30"/>
          <w:szCs w:val="30"/>
        </w:rPr>
        <w:t xml:space="preserve">2. Tecnologias Utilizadas</w:t>
      </w:r>
    </w:p>
    <w:p>
      <w:pPr>
        <w:pStyle w:val="Heading2"/>
        <w:spacing w:after="120" w:before="280"/>
      </w:pPr>
      <w:r>
        <w:rPr>
          <w:b/>
          <w:bCs/>
          <w:color w:val="2E75B6"/>
          <w:sz w:val="24"/>
          <w:szCs w:val="24"/>
        </w:rPr>
        <w:t xml:space="preserve">2.1 Coleta de dados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sz w:val="22"/>
          <w:szCs w:val="22"/>
        </w:rPr>
        <w:t xml:space="preserve">PowerShell — mesmo script planejado para os PDVs, adaptado para coletar dados genéricos disponíveis no notebook</w:t>
      </w:r>
    </w:p>
    <w:p>
      <w:pPr>
        <w:pStyle w:val="Heading2"/>
        <w:spacing w:after="120" w:before="280"/>
      </w:pPr>
      <w:r>
        <w:rPr>
          <w:b/>
          <w:bCs/>
          <w:color w:val="2E75B6"/>
          <w:sz w:val="24"/>
          <w:szCs w:val="24"/>
        </w:rPr>
        <w:t xml:space="preserve">2.2 Backend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sz w:val="22"/>
          <w:szCs w:val="22"/>
        </w:rPr>
        <w:t xml:space="preserve">Next.js API Routes — dispensa um backend separado nesta fase de teste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sz w:val="22"/>
          <w:szCs w:val="22"/>
        </w:rPr>
        <w:t xml:space="preserve">PostgreSQL (local) — banco healthcheck_teste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sz w:val="22"/>
          <w:szCs w:val="22"/>
        </w:rPr>
        <w:t xml:space="preserve">Prisma — ORM para modelagem e conexão com o banco</w:t>
      </w:r>
    </w:p>
    <w:p>
      <w:pPr>
        <w:pStyle w:val="Heading2"/>
        <w:spacing w:after="120" w:before="280"/>
      </w:pPr>
      <w:r>
        <w:rPr>
          <w:b/>
          <w:bCs/>
          <w:color w:val="2E75B6"/>
          <w:sz w:val="24"/>
          <w:szCs w:val="24"/>
        </w:rPr>
        <w:t xml:space="preserve">2.3 Frontend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sz w:val="22"/>
          <w:szCs w:val="22"/>
        </w:rPr>
        <w:t xml:space="preserve">Next.js (React), com App Router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sz w:val="22"/>
          <w:szCs w:val="22"/>
        </w:rPr>
        <w:t xml:space="preserve">JavaScript puro — sem uso de TypeScript no projeto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sz w:val="22"/>
          <w:szCs w:val="22"/>
        </w:rPr>
        <w:t xml:space="preserve">Import alias (@/*)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sz w:val="22"/>
          <w:szCs w:val="22"/>
        </w:rPr>
        <w:t xml:space="preserve">TailwindCSS — estilização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sz w:val="22"/>
          <w:szCs w:val="22"/>
        </w:rPr>
        <w:t xml:space="preserve">Lucide React — ícones</w:t>
      </w:r>
    </w:p>
    <w:p>
      <w:pPr>
        <w:pStyle w:val="Heading1"/>
        <w:pBdr>
          <w:bottom w:val="single" w:color="2E75B6" w:sz="6" w:space="4"/>
        </w:pBdr>
        <w:spacing w:after="160" w:before="360"/>
      </w:pPr>
      <w:r>
        <w:rPr>
          <w:b/>
          <w:bCs/>
          <w:color w:val="1F3864"/>
          <w:sz w:val="30"/>
          <w:szCs w:val="30"/>
        </w:rPr>
        <w:t xml:space="preserve">3. Estrutura de Pastas</w:t>
      </w:r>
    </w:p>
    <w:p>
      <w:pPr>
        <w:spacing w:after="160" w:line="300"/>
      </w:pPr>
      <w:r>
        <w:rPr>
          <w:sz w:val="22"/>
          <w:szCs w:val="22"/>
        </w:rPr>
        <w:t xml:space="preserve">Mesma organização definida para o projeto principal — um único projeto Next.js, com frontend e backend separados por pasta, mesmo estando na mesma instalação: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c>
          <w:tcPr>
            <w:tcW w:type="dxa" w:w="4200"/>
            <w:shd w:fill="EAF1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Pasta</w:t>
            </w:r>
          </w:p>
        </w:tc>
        <w:tc>
          <w:tcPr>
            <w:tcW w:type="dxa" w:w="5160"/>
            <w:shd w:fill="EAF1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Conteúdo</w:t>
            </w:r>
          </w:p>
        </w:tc>
      </w:tr>
      <w:tr>
        <w:tc>
          <w:tcPr>
            <w:tcW w:type="dxa" w:w="4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app/api/</w:t>
            </w:r>
          </w:p>
        </w:tc>
        <w:tc>
          <w:tcPr>
            <w:tcW w:type="dxa" w:w="51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Backend — rota de API que recebe os dados de teste enviados pelo script</w:t>
            </w:r>
          </w:p>
        </w:tc>
      </w:tr>
      <w:tr>
        <w:tc>
          <w:tcPr>
            <w:tcW w:type="dxa" w:w="4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app/dashboard/ (e demais páginas)</w:t>
            </w:r>
          </w:p>
        </w:tc>
        <w:tc>
          <w:tcPr>
            <w:tcW w:type="dxa" w:w="51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Frontend — telas do painel de teste</w:t>
            </w:r>
          </w:p>
        </w:tc>
      </w:tr>
      <w:tr>
        <w:tc>
          <w:tcPr>
            <w:tcW w:type="dxa" w:w="4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components/</w:t>
            </w:r>
          </w:p>
        </w:tc>
        <w:tc>
          <w:tcPr>
            <w:tcW w:type="dxa" w:w="51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Frontend — componentes visuais reutilizáveis</w:t>
            </w:r>
          </w:p>
        </w:tc>
      </w:tr>
      <w:tr>
        <w:tc>
          <w:tcPr>
            <w:tcW w:type="dxa" w:w="4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lib/</w:t>
            </w:r>
          </w:p>
        </w:tc>
        <w:tc>
          <w:tcPr>
            <w:tcW w:type="dxa" w:w="51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Backend — conexão com o banco local, funções auxiliares</w:t>
            </w:r>
          </w:p>
        </w:tc>
      </w:tr>
      <w:tr>
        <w:tc>
          <w:tcPr>
            <w:tcW w:type="dxa" w:w="4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prisma/</w:t>
            </w:r>
          </w:p>
        </w:tc>
        <w:tc>
          <w:tcPr>
            <w:tcW w:type="dxa" w:w="51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Schema do banco de dados e configuração do Prisma</w:t>
            </w:r>
          </w:p>
        </w:tc>
      </w:tr>
      <w:tr>
        <w:tc>
          <w:tcPr>
            <w:tcW w:type="dxa" w:w="4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scripts/</w:t>
            </w:r>
          </w:p>
        </w:tc>
        <w:tc>
          <w:tcPr>
            <w:tcW w:type="dxa" w:w="51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Script PowerShell de teste — fica fora da aplicação web</w:t>
            </w:r>
          </w:p>
        </w:tc>
      </w:tr>
    </w:tbl>
    <w:p>
      <w:pPr>
        <w:pStyle w:val="Heading1"/>
        <w:pBdr>
          <w:bottom w:val="single" w:color="2E75B6" w:sz="6" w:space="4"/>
        </w:pBdr>
        <w:spacing w:after="160" w:before="360"/>
      </w:pPr>
      <w:r>
        <w:rPr>
          <w:b/>
          <w:bCs/>
          <w:color w:val="1F3864"/>
          <w:sz w:val="30"/>
          <w:szCs w:val="30"/>
        </w:rPr>
        <w:t xml:space="preserve">4. Identidade Visual</w:t>
      </w:r>
    </w:p>
    <w:p>
      <w:pPr>
        <w:spacing w:after="160" w:line="300"/>
      </w:pPr>
      <w:r>
        <w:rPr>
          <w:sz w:val="22"/>
          <w:szCs w:val="22"/>
        </w:rPr>
        <w:t xml:space="preserve">Mesma identidade definida para o projeto principal, já aplicada desde esta fase de teste para validar a experiência visual completa.</w:t>
      </w:r>
    </w:p>
    <w:p>
      <w:pPr>
        <w:pStyle w:val="Heading2"/>
        <w:spacing w:after="120" w:before="280"/>
      </w:pPr>
      <w:r>
        <w:rPr>
          <w:b/>
          <w:bCs/>
          <w:color w:val="2E75B6"/>
          <w:sz w:val="24"/>
          <w:szCs w:val="24"/>
        </w:rPr>
        <w:t xml:space="preserve">4.1 Paleta de cores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800"/>
        <w:gridCol w:w="4160"/>
      </w:tblGrid>
      <w:tr>
        <w:tc>
          <w:tcPr>
            <w:tcW w:type="dxa" w:w="3400"/>
            <w:shd w:fill="EAF1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Uso</w:t>
            </w:r>
          </w:p>
        </w:tc>
        <w:tc>
          <w:tcPr>
            <w:tcW w:type="dxa" w:w="1800"/>
            <w:shd w:fill="EAF1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Cor</w:t>
            </w:r>
          </w:p>
        </w:tc>
        <w:tc>
          <w:tcPr>
            <w:tcW w:type="dxa" w:w="4160"/>
            <w:shd w:fill="EAF1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Aplicação</w:t>
            </w:r>
          </w:p>
        </w:tc>
      </w:tr>
      <w:tr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Fundo principal</w:t>
            </w:r>
          </w:p>
        </w:tc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#0A0307</w:t>
            </w:r>
          </w:p>
        </w:tc>
        <w:tc>
          <w:tcPr>
            <w:tcW w:type="dxa" w:w="41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Fundo geral do painel</w:t>
            </w:r>
          </w:p>
        </w:tc>
      </w:tr>
      <w:tr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Texto</w:t>
            </w:r>
          </w:p>
        </w:tc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#EBEBEB</w:t>
            </w:r>
          </w:p>
        </w:tc>
        <w:tc>
          <w:tcPr>
            <w:tcW w:type="dxa" w:w="41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Textos sobre o fundo escuro</w:t>
            </w:r>
          </w:p>
        </w:tc>
      </w:tr>
      <w:tr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Crítico</w:t>
            </w:r>
          </w:p>
        </w:tc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#E60925</w:t>
            </w:r>
          </w:p>
        </w:tc>
        <w:tc>
          <w:tcPr>
            <w:tcW w:type="dxa" w:w="41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Status crítico</w:t>
            </w:r>
          </w:p>
        </w:tc>
      </w:tr>
      <w:tr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Normal / saudável</w:t>
            </w:r>
          </w:p>
        </w:tc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#2E826D</w:t>
            </w:r>
          </w:p>
        </w:tc>
        <w:tc>
          <w:tcPr>
            <w:tcW w:type="dxa" w:w="41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Status normal/saudável</w:t>
            </w:r>
          </w:p>
        </w:tc>
      </w:tr>
      <w:tr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Atenção</w:t>
            </w:r>
          </w:p>
        </w:tc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#D9A62E</w:t>
            </w:r>
          </w:p>
        </w:tc>
        <w:tc>
          <w:tcPr>
            <w:tcW w:type="dxa" w:w="41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Status intermediário</w:t>
            </w:r>
          </w:p>
        </w:tc>
      </w:tr>
      <w:tr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Destaque / ação</w:t>
            </w:r>
          </w:p>
        </w:tc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#3E8FB0</w:t>
            </w:r>
          </w:p>
        </w:tc>
        <w:tc>
          <w:tcPr>
            <w:tcW w:type="dxa" w:w="41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Botões, links, seleção</w:t>
            </w:r>
          </w:p>
        </w:tc>
      </w:tr>
    </w:tbl>
    <w:p>
      <w:pPr>
        <w:pStyle w:val="Heading2"/>
        <w:spacing w:after="120" w:before="280"/>
      </w:pPr>
      <w:r>
        <w:rPr>
          <w:b/>
          <w:bCs/>
          <w:color w:val="2E75B6"/>
          <w:sz w:val="24"/>
          <w:szCs w:val="24"/>
        </w:rPr>
        <w:t xml:space="preserve">4.2 Tipografia</w:t>
      </w:r>
    </w:p>
    <w:p>
      <w:pPr>
        <w:spacing w:after="160" w:line="300"/>
      </w:pPr>
      <w:r>
        <w:rPr>
          <w:sz w:val="22"/>
          <w:szCs w:val="22"/>
        </w:rPr>
        <w:t xml:space="preserve">Fonte: Roboto (sans-serif), importada via next/font (Google Fonts).</w:t>
      </w:r>
    </w:p>
    <w:p>
      <w:pPr>
        <w:pStyle w:val="Heading1"/>
        <w:pBdr>
          <w:bottom w:val="single" w:color="2E75B6" w:sz="6" w:space="4"/>
        </w:pBdr>
        <w:spacing w:after="160" w:before="360"/>
      </w:pPr>
      <w:r>
        <w:rPr>
          <w:b/>
          <w:bCs/>
          <w:color w:val="1F3864"/>
          <w:sz w:val="30"/>
          <w:szCs w:val="30"/>
        </w:rPr>
        <w:t xml:space="preserve">5. Escopo Desta Fase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sz w:val="22"/>
          <w:szCs w:val="22"/>
        </w:rPr>
        <w:t xml:space="preserve">Sem conexão com servidor da empresa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sz w:val="22"/>
          <w:szCs w:val="22"/>
        </w:rPr>
        <w:t xml:space="preserve">Sem dados reais — apenas dados de teste gerados no próprio notebook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sz w:val="22"/>
          <w:szCs w:val="22"/>
        </w:rPr>
        <w:t xml:space="preserve">Sem distribuição em massa, agendamento automático ou GPO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sz w:val="22"/>
          <w:szCs w:val="22"/>
        </w:rPr>
        <w:t xml:space="preserve">Objetivo único: validar o funcionamento ponta a ponta antes do piloto na loja matriz</w:t>
      </w:r>
    </w:p>
    <w:p>
      <w:pPr>
        <w:pStyle w:val="Heading1"/>
        <w:pBdr>
          <w:bottom w:val="single" w:color="2E75B6" w:sz="6" w:space="4"/>
        </w:pBdr>
        <w:spacing w:after="160" w:before="360"/>
      </w:pPr>
      <w:r>
        <w:rPr>
          <w:b/>
          <w:bCs/>
          <w:color w:val="1F3864"/>
          <w:sz w:val="30"/>
          <w:szCs w:val="30"/>
        </w:rPr>
        <w:t xml:space="preserve">6. Próximo Passo</w:t>
      </w:r>
    </w:p>
    <w:p>
      <w:pPr>
        <w:spacing w:after="160" w:line="300"/>
      </w:pPr>
      <w:r>
        <w:rPr>
          <w:sz w:val="22"/>
          <w:szCs w:val="22"/>
        </w:rPr>
        <w:t xml:space="preserve">Após validação completa deste fluxo local, o projeto avança para o piloto na loja matriz, já documentado separadamente na documentação técnica principal do projeto.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2026-09-03T20:59:06.165Z</dcterms:created>
  <dcterms:modified xsi:type="dcterms:W3CDTF">2026-09-03T20:59:06.176Z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