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jc w:val="center"/>
        <w:rPr>
          <w:rFonts w:ascii="Arial" w:hAnsi="Arial" w:eastAsia="Arial" w:cs="Arial"/>
          <w:b/>
          <w:color w:val="002060"/>
          <w:sz w:val="28"/>
          <w:szCs w:val="20"/>
          <w:lang w:val="es-ES" w:eastAsia="es-ES"/>
        </w:rPr>
      </w:pPr>
      <w:r>
        <w:rPr>
          <w:rFonts w:eastAsia="Arial" w:cs="Arial" w:ascii="Arial" w:hAnsi="Arial"/>
          <w:b/>
          <w:color w:val="002060"/>
          <w:sz w:val="28"/>
          <w:szCs w:val="20"/>
          <w:lang w:val="es-ES" w:eastAsia="es-ES"/>
        </w:rPr>
      </w:r>
    </w:p>
    <w:p>
      <w:pPr>
        <w:pStyle w:val="Normal"/>
        <w:widowControl w:val="false"/>
        <w:jc w:val="center"/>
        <w:rPr/>
      </w:pPr>
      <w:r>
        <w:rPr>
          <w:rFonts w:eastAsia="Arial" w:cs="Arial" w:ascii="Arial" w:hAnsi="Arial"/>
          <w:b/>
          <w:color w:val="002060"/>
          <w:sz w:val="28"/>
          <w:szCs w:val="20"/>
          <w:lang w:val="es-ES" w:eastAsia="es-ES"/>
        </w:rPr>
        <w:t>PROCESOS LABORALES (TSS603)</w:t>
      </w:r>
    </w:p>
    <w:p>
      <w:pPr>
        <w:pStyle w:val="Normal"/>
        <w:rPr>
          <w:rFonts w:ascii="Gill Sans" w:hAnsi="Gill Sans" w:eastAsia="Gill Sans" w:cs="Gill Sans"/>
          <w:b/>
        </w:rPr>
      </w:pPr>
      <w:r>
        <w:rPr>
          <w:rFonts w:eastAsia="Gill Sans" w:cs="Gill Sans" w:ascii="Gill Sans" w:hAnsi="Gill Sans"/>
          <w:b/>
        </w:rPr>
      </w:r>
    </w:p>
    <w:p>
      <w:pPr>
        <w:pStyle w:val="Normal"/>
        <w:rPr>
          <w:rFonts w:ascii="Gill Sans" w:hAnsi="Gill Sans" w:eastAsia="Gill Sans" w:cs="Gill Sans"/>
          <w:b/>
        </w:rPr>
      </w:pPr>
      <w:r>
        <w:rPr>
          <w:rFonts w:eastAsia="Gill Sans" w:cs="Gill Sans" w:ascii="Gill Sans" w:hAnsi="Gill Sans"/>
          <w:b/>
        </w:rPr>
      </w:r>
    </w:p>
    <w:p>
      <w:pPr>
        <w:pStyle w:val="Normal"/>
        <w:numPr>
          <w:ilvl w:val="0"/>
          <w:numId w:val="3"/>
        </w:numPr>
        <w:ind w:hanging="142" w:start="142"/>
        <w:rPr/>
      </w:pPr>
      <w:r>
        <w:rPr>
          <w:rFonts w:eastAsia="Gill Sans" w:cs="Gill Sans" w:ascii="Gill Sans" w:hAnsi="Gill Sans"/>
          <w:b/>
          <w:color w:val="002060"/>
        </w:rPr>
        <w:t>INFORMACIÓN GENERAL</w:t>
      </w:r>
    </w:p>
    <w:p>
      <w:pPr>
        <w:pStyle w:val="Normal"/>
        <w:ind w:start="142"/>
        <w:rPr>
          <w:rFonts w:ascii="Gill Sans" w:hAnsi="Gill Sans" w:eastAsia="Gill Sans" w:cs="Gill Sans"/>
          <w:color w:val="002060"/>
        </w:rPr>
      </w:pPr>
      <w:r>
        <w:rPr>
          <w:rFonts w:eastAsia="Gill Sans" w:cs="Gill Sans" w:ascii="Gill Sans" w:hAnsi="Gill Sans"/>
          <w:color w:val="002060"/>
        </w:rPr>
      </w:r>
    </w:p>
    <w:tbl>
      <w:tblPr>
        <w:tblStyle w:val="Tablaconcuadrcula"/>
        <w:tblW w:w="895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75"/>
        <w:gridCol w:w="284"/>
        <w:gridCol w:w="5694"/>
      </w:tblGrid>
      <w:tr>
        <w:trPr>
          <w:trHeight w:val="369" w:hRule="atLeast"/>
        </w:trPr>
        <w:tc>
          <w:tcPr>
            <w:tcW w:w="2975" w:type="dxa"/>
            <w:tcBorders>
              <w:top w:val="nil"/>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Curso</w:t>
            </w:r>
          </w:p>
        </w:tc>
        <w:tc>
          <w:tcPr>
            <w:tcW w:w="284" w:type="dxa"/>
            <w:tcBorders>
              <w:top w:val="nil"/>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nil"/>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Procesos Laborales</w:t>
            </w:r>
          </w:p>
        </w:tc>
      </w:tr>
      <w:tr>
        <w:trPr>
          <w:trHeight w:val="265"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Clave del curso</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TSS603</w:t>
            </w:r>
          </w:p>
        </w:tc>
      </w:tr>
      <w:tr>
        <w:trPr>
          <w:trHeight w:val="283"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Horario(s)</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H0001</w:t>
            </w:r>
          </w:p>
        </w:tc>
      </w:tr>
      <w:tr>
        <w:trPr>
          <w:trHeight w:val="273"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Ciclo/Nivel de formación</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Ciclo III</w:t>
            </w:r>
          </w:p>
        </w:tc>
      </w:tr>
      <w:tr>
        <w:trPr>
          <w:trHeight w:val="263"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Requisitos</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Ninguno</w:t>
            </w:r>
          </w:p>
        </w:tc>
      </w:tr>
      <w:tr>
        <w:trPr>
          <w:trHeight w:val="295"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Tipo de curso</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Obligatorio</w:t>
            </w:r>
          </w:p>
        </w:tc>
      </w:tr>
      <w:tr>
        <w:trPr>
          <w:trHeight w:val="257"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Créditos</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3 créditos</w:t>
            </w:r>
          </w:p>
        </w:tc>
      </w:tr>
      <w:tr>
        <w:trPr>
          <w:trHeight w:val="275"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Docente(s)</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Paul Paredes</w:t>
            </w:r>
          </w:p>
        </w:tc>
      </w:tr>
      <w:tr>
        <w:trPr>
          <w:trHeight w:val="279"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Semestre</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2026-1</w:t>
            </w:r>
          </w:p>
        </w:tc>
      </w:tr>
      <w:tr>
        <w:trPr>
          <w:trHeight w:val="269"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Día y hora de dictado</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Lunes de 19:00 a 22:00 hrs.</w:t>
            </w:r>
          </w:p>
        </w:tc>
      </w:tr>
      <w:tr>
        <w:trPr>
          <w:trHeight w:val="273"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Programa</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Maestría en Derecho del Trabajo y Seguridad Social</w:t>
            </w:r>
          </w:p>
        </w:tc>
      </w:tr>
      <w:tr>
        <w:trPr>
          <w:trHeight w:val="277" w:hRule="atLeast"/>
        </w:trPr>
        <w:tc>
          <w:tcPr>
            <w:tcW w:w="2975"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N° de horas lectivas teóricas</w:t>
            </w:r>
          </w:p>
        </w:tc>
        <w:tc>
          <w:tcPr>
            <w:tcW w:w="28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single" w:sz="2" w:space="0" w:color="002060"/>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48</w:t>
            </w:r>
          </w:p>
        </w:tc>
      </w:tr>
      <w:tr>
        <w:trPr>
          <w:trHeight w:val="267" w:hRule="atLeast"/>
        </w:trPr>
        <w:tc>
          <w:tcPr>
            <w:tcW w:w="2975" w:type="dxa"/>
            <w:tcBorders>
              <w:top w:val="single" w:sz="2" w:space="0" w:color="002060"/>
              <w:start w:val="nil"/>
              <w:bottom w:val="nil"/>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Naturaleza del curso</w:t>
            </w:r>
          </w:p>
        </w:tc>
        <w:tc>
          <w:tcPr>
            <w:tcW w:w="284" w:type="dxa"/>
            <w:tcBorders>
              <w:top w:val="single" w:sz="2" w:space="0" w:color="002060"/>
              <w:start w:val="nil"/>
              <w:bottom w:val="nil"/>
              <w:end w:val="nil"/>
            </w:tcBorders>
            <w:vAlign w:val="center"/>
          </w:tcPr>
          <w:p>
            <w:pPr>
              <w:pStyle w:val="Normal"/>
              <w:widowControl/>
              <w:suppressAutoHyphens w:val="true"/>
              <w:spacing w:before="40" w:after="40"/>
              <w:contextualSpacing/>
              <w:jc w:val="start"/>
              <w:rPr/>
            </w:pPr>
            <w:r>
              <w:rPr>
                <w:rFonts w:eastAsia="Gill Sans" w:cs="Arial" w:ascii="Gill Sans MT" w:hAnsi="Gill Sans MT"/>
                <w:b/>
                <w:bCs/>
                <w:color w:val="002060"/>
                <w:kern w:val="0"/>
                <w:sz w:val="20"/>
                <w:szCs w:val="20"/>
                <w:lang w:val="es-PE" w:eastAsia="es-PE" w:bidi="ar-SA"/>
              </w:rPr>
              <w:t>:</w:t>
            </w:r>
          </w:p>
        </w:tc>
        <w:tc>
          <w:tcPr>
            <w:tcW w:w="5694" w:type="dxa"/>
            <w:tcBorders>
              <w:top w:val="single" w:sz="2" w:space="0" w:color="002060"/>
              <w:start w:val="nil"/>
              <w:bottom w:val="nil"/>
              <w:end w:val="nil"/>
            </w:tcBorders>
            <w:vAlign w:val="center"/>
          </w:tcPr>
          <w:p>
            <w:pPr>
              <w:pStyle w:val="Normal"/>
              <w:widowControl/>
              <w:suppressAutoHyphens w:val="true"/>
              <w:spacing w:before="40" w:after="40"/>
              <w:contextualSpacing/>
              <w:jc w:val="start"/>
              <w:rPr/>
            </w:pPr>
            <w:r>
              <w:rPr>
                <w:rFonts w:eastAsia="Gill Sans" w:cs="Arial" w:ascii="Gill Sans MT" w:hAnsi="Gill Sans MT"/>
                <w:kern w:val="0"/>
                <w:sz w:val="20"/>
                <w:szCs w:val="20"/>
                <w:lang w:val="es-PE" w:eastAsia="es-PE" w:bidi="ar-SA"/>
              </w:rPr>
              <w:t>Teórico</w:t>
            </w:r>
          </w:p>
        </w:tc>
      </w:tr>
    </w:tbl>
    <w:p>
      <w:pPr>
        <w:pStyle w:val="Normal"/>
        <w:rPr>
          <w:rFonts w:ascii="Gill Sans" w:hAnsi="Gill Sans" w:eastAsia="Gill Sans" w:cs="Gill Sans"/>
        </w:rPr>
      </w:pPr>
      <w:r>
        <w:rPr>
          <w:rFonts w:eastAsia="Gill Sans" w:cs="Gill Sans" w:ascii="Gill Sans" w:hAnsi="Gill Sans"/>
        </w:rPr>
      </w:r>
    </w:p>
    <w:p>
      <w:pPr>
        <w:pStyle w:val="Normal"/>
        <w:rPr>
          <w:rFonts w:ascii="Gill Sans" w:hAnsi="Gill Sans" w:eastAsia="Gill Sans" w:cs="Gill Sans"/>
        </w:rPr>
      </w:pPr>
      <w:r>
        <w:rPr>
          <w:rFonts w:eastAsia="Gill Sans" w:cs="Gill Sans" w:ascii="Gill Sans" w:hAnsi="Gill Sans"/>
        </w:rPr>
      </w:r>
    </w:p>
    <w:p>
      <w:pPr>
        <w:pStyle w:val="Normal"/>
        <w:numPr>
          <w:ilvl w:val="0"/>
          <w:numId w:val="3"/>
        </w:numPr>
        <w:spacing w:before="0" w:after="200"/>
        <w:ind w:hanging="142" w:start="142"/>
        <w:rPr/>
      </w:pPr>
      <w:r>
        <w:rPr>
          <w:rFonts w:eastAsia="Gill Sans" w:cs="Gill Sans" w:ascii="Gill Sans" w:hAnsi="Gill Sans"/>
          <w:b/>
          <w:color w:val="002060"/>
          <w:sz w:val="22"/>
          <w:szCs w:val="22"/>
        </w:rPr>
        <w:t>SUMILLA</w:t>
      </w:r>
    </w:p>
    <w:p>
      <w:pPr>
        <w:pStyle w:val="Normal"/>
        <w:jc w:val="both"/>
        <w:rPr/>
      </w:pPr>
      <w:r>
        <w:rPr>
          <w:rFonts w:eastAsia="Gill Sans" w:cs="Gill Sans" w:ascii="Gill Sans" w:hAnsi="Gill Sans"/>
          <w:sz w:val="20"/>
          <w:szCs w:val="20"/>
        </w:rPr>
        <w:t>Este es un curso avanzado y especializado en temas de Derecho Procesal del Trabajo. Se analizarán los problemas que presentan las principales vías procesales de protección de los derechos laborales, tanto constitucional (Código Procesal Constitucional) como ordinaria (Ley Procesal del Trabajo). Dentro de esta última se estudiarán problemas específicos que se viene presentando en la actualidad, como la suficiencia regulatoria de la LPT y la relación de supletoriedad con otros ordenamientos procesales; la aplicación de medidas cautelares; la casación laboral; la representatividad procesal; los procesos especiales de tutela de derechos laborales fundamentales.</w:t>
      </w:r>
    </w:p>
    <w:p>
      <w:pPr>
        <w:pStyle w:val="Normal"/>
        <w:rPr>
          <w:rFonts w:ascii="Gill Sans" w:hAnsi="Gill Sans" w:eastAsia="Gill Sans" w:cs="Gill Sans"/>
          <w:b/>
          <w:sz w:val="22"/>
          <w:szCs w:val="22"/>
        </w:rPr>
      </w:pPr>
      <w:r>
        <w:rPr>
          <w:rFonts w:eastAsia="Gill Sans" w:cs="Gill Sans" w:ascii="Gill Sans" w:hAnsi="Gill Sans"/>
          <w:b/>
          <w:sz w:val="22"/>
          <w:szCs w:val="22"/>
        </w:rPr>
      </w:r>
    </w:p>
    <w:p>
      <w:pPr>
        <w:pStyle w:val="Normal"/>
        <w:numPr>
          <w:ilvl w:val="0"/>
          <w:numId w:val="3"/>
        </w:numPr>
        <w:ind w:hanging="142" w:start="142"/>
        <w:rPr/>
      </w:pPr>
      <w:r>
        <w:rPr>
          <w:rFonts w:eastAsia="Gill Sans" w:cs="Gill Sans" w:ascii="Gill Sans" w:hAnsi="Gill Sans"/>
          <w:b/>
          <w:color w:val="002060"/>
          <w:sz w:val="22"/>
          <w:szCs w:val="22"/>
        </w:rPr>
        <w:t>RESULTADOS DE APRENDIZAJE</w:t>
      </w:r>
    </w:p>
    <w:p>
      <w:pPr>
        <w:pStyle w:val="Normal"/>
        <w:spacing w:before="240" w:after="240"/>
        <w:jc w:val="both"/>
        <w:rPr/>
      </w:pPr>
      <w:r>
        <w:rPr>
          <w:rFonts w:eastAsia="Gill Sans" w:cs="Gill Sans" w:ascii="Gill Sans" w:hAnsi="Gill Sans"/>
          <w:sz w:val="20"/>
          <w:szCs w:val="20"/>
        </w:rPr>
        <w:t>RA1: Comprende los fundamentos del proceso laboral y su rol como herramienta de acceso a la justicia, más allá de su función formal en la resolución de conflictos.</w:t>
      </w:r>
    </w:p>
    <w:p>
      <w:pPr>
        <w:pStyle w:val="Normal"/>
        <w:spacing w:before="240" w:after="240"/>
        <w:jc w:val="both"/>
        <w:rPr/>
      </w:pPr>
      <w:r>
        <w:rPr>
          <w:rFonts w:eastAsia="Gill Sans" w:cs="Gill Sans" w:ascii="Gill Sans" w:hAnsi="Gill Sans"/>
          <w:sz w:val="20"/>
          <w:szCs w:val="20"/>
        </w:rPr>
        <w:t>RA2: Analiza la regulación normativa del proceso laboral peruano, con énfasis en sus principios y fundamentos.</w:t>
      </w:r>
    </w:p>
    <w:p>
      <w:pPr>
        <w:pStyle w:val="Normal"/>
        <w:spacing w:before="240" w:after="240"/>
        <w:jc w:val="both"/>
        <w:rPr/>
      </w:pPr>
      <w:r>
        <w:rPr>
          <w:rFonts w:eastAsia="Gill Sans" w:cs="Gill Sans" w:ascii="Gill Sans" w:hAnsi="Gill Sans"/>
          <w:sz w:val="20"/>
          <w:szCs w:val="20"/>
        </w:rPr>
        <w:t>RA3: Conoce las bases del razonamiento probatorio y su impacto en la corrección de las decisiones jurídicas dentro del proceso laboral.</w:t>
      </w:r>
    </w:p>
    <w:p>
      <w:pPr>
        <w:pStyle w:val="Normal"/>
        <w:spacing w:before="240" w:after="240"/>
        <w:jc w:val="both"/>
        <w:rPr/>
      </w:pPr>
      <w:r>
        <w:rPr>
          <w:rFonts w:eastAsia="Gill Sans" w:cs="Gill Sans" w:ascii="Gill Sans" w:hAnsi="Gill Sans"/>
          <w:sz w:val="20"/>
          <w:szCs w:val="20"/>
        </w:rPr>
        <w:t>RA4: Identifica los elementos y condiciones para preparar un caso laboral desde una perspectiva crítica de la llamada “teoría del caso”.</w:t>
      </w:r>
    </w:p>
    <w:p>
      <w:pPr>
        <w:pStyle w:val="Normal"/>
        <w:spacing w:before="240" w:after="240"/>
        <w:jc w:val="both"/>
        <w:rPr/>
      </w:pPr>
      <w:r>
        <w:rPr>
          <w:rFonts w:eastAsia="Gill Sans" w:cs="Gill Sans" w:ascii="Gill Sans" w:hAnsi="Gill Sans"/>
          <w:sz w:val="20"/>
          <w:szCs w:val="20"/>
        </w:rPr>
        <w:t>RA5: Examina el diseño del proceso laboral como medio para asegurar el acceso a la justicia y el papel que cumple la prueba en garantizar decisiones jurídicas justas o correctas.</w:t>
      </w:r>
    </w:p>
    <w:p>
      <w:pPr>
        <w:pStyle w:val="Normal"/>
        <w:spacing w:before="240" w:after="240"/>
        <w:jc w:val="both"/>
        <w:rPr/>
      </w:pPr>
      <w:r>
        <w:rPr>
          <w:rFonts w:eastAsia="Gill Sans" w:cs="Gill Sans" w:ascii="Gill Sans" w:hAnsi="Gill Sans"/>
          <w:sz w:val="20"/>
          <w:szCs w:val="20"/>
        </w:rPr>
        <w:t>RA6: Evalúa los límites de la llamada “teoría del caso” desde las perspectivas de la defensa y del órgano decisor.</w:t>
      </w:r>
    </w:p>
    <w:p>
      <w:pPr>
        <w:pStyle w:val="Normal"/>
        <w:spacing w:before="240" w:after="240"/>
        <w:jc w:val="both"/>
        <w:rPr>
          <w:rFonts w:ascii="Gill Sans" w:hAnsi="Gill Sans" w:eastAsia="Gill Sans" w:cs="Gill Sans"/>
          <w:sz w:val="20"/>
          <w:szCs w:val="20"/>
        </w:rPr>
      </w:pPr>
      <w:r>
        <w:rPr>
          <w:rFonts w:eastAsia="Gill Sans" w:cs="Gill Sans" w:ascii="Gill Sans" w:hAnsi="Gill Sans"/>
          <w:sz w:val="20"/>
          <w:szCs w:val="20"/>
        </w:rPr>
      </w:r>
    </w:p>
    <w:p>
      <w:pPr>
        <w:pStyle w:val="Normal"/>
        <w:numPr>
          <w:ilvl w:val="0"/>
          <w:numId w:val="3"/>
        </w:numPr>
        <w:ind w:hanging="141" w:start="141"/>
        <w:rPr/>
      </w:pPr>
      <w:r>
        <w:rPr>
          <w:rFonts w:eastAsia="Gill Sans" w:cs="Gill Sans" w:ascii="Gill Sans" w:hAnsi="Gill Sans"/>
          <w:b/>
          <w:color w:val="002060"/>
          <w:sz w:val="22"/>
          <w:szCs w:val="22"/>
        </w:rPr>
        <w:t>APORTE DEL CURSO A LAS COMPETENCIAS DEL PERFIL DE EGRESO</w:t>
      </w:r>
    </w:p>
    <w:p>
      <w:pPr>
        <w:pStyle w:val="Normal"/>
        <w:jc w:val="both"/>
        <w:rPr>
          <w:color w:val="0000FF"/>
          <w:sz w:val="20"/>
          <w:szCs w:val="20"/>
        </w:rPr>
      </w:pPr>
      <w:r>
        <w:rPr>
          <w:color w:val="0000FF"/>
          <w:sz w:val="20"/>
          <w:szCs w:val="20"/>
        </w:rPr>
      </w:r>
    </w:p>
    <w:tbl>
      <w:tblPr>
        <w:tblStyle w:val="affff9"/>
        <w:tblW w:w="8175" w:type="dxa"/>
        <w:jc w:val="center"/>
        <w:tblInd w:w="0" w:type="dxa"/>
        <w:tblLayout w:type="fixed"/>
        <w:tblCellMar>
          <w:top w:w="40" w:type="dxa"/>
          <w:start w:w="40" w:type="dxa"/>
          <w:bottom w:w="40" w:type="dxa"/>
          <w:end w:w="40" w:type="dxa"/>
        </w:tblCellMar>
        <w:tblLook w:val="0600" w:noHBand="1" w:noVBand="1" w:firstColumn="0" w:lastRow="0" w:lastColumn="0" w:firstRow="0"/>
      </w:tblPr>
      <w:tblGrid>
        <w:gridCol w:w="1550"/>
        <w:gridCol w:w="4630"/>
        <w:gridCol w:w="1995"/>
      </w:tblGrid>
      <w:tr>
        <w:trPr>
          <w:trHeight w:val="630" w:hRule="atLeast"/>
        </w:trPr>
        <w:tc>
          <w:tcPr>
            <w:tcW w:w="6180" w:type="dxa"/>
            <w:gridSpan w:val="2"/>
            <w:tcBorders>
              <w:top w:val="single" w:sz="6" w:space="0" w:color="000000"/>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jc w:val="center"/>
              <w:rPr/>
            </w:pPr>
            <w:r>
              <w:rPr>
                <w:rFonts w:eastAsia="Gill Sans" w:cs="Gill Sans" w:ascii="Gill Sans" w:hAnsi="Gill Sans"/>
                <w:b/>
                <w:sz w:val="18"/>
                <w:szCs w:val="18"/>
              </w:rPr>
              <w:t>Competencias del perfil de egreso</w:t>
            </w:r>
          </w:p>
        </w:tc>
        <w:tc>
          <w:tcPr>
            <w:tcW w:w="1995" w:type="dxa"/>
            <w:tcBorders>
              <w:top w:val="single" w:sz="6" w:space="0" w:color="000000"/>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jc w:val="center"/>
              <w:rPr/>
            </w:pPr>
            <w:r>
              <w:rPr>
                <w:rFonts w:eastAsia="Gill Sans" w:cs="Gill Sans" w:ascii="Gill Sans" w:hAnsi="Gill Sans"/>
                <w:b/>
                <w:sz w:val="18"/>
                <w:szCs w:val="18"/>
              </w:rPr>
              <w:t>Resultados de aprendizaje</w:t>
            </w:r>
          </w:p>
        </w:tc>
      </w:tr>
      <w:tr>
        <w:trPr>
          <w:trHeight w:val="345" w:hRule="atLeast"/>
        </w:trPr>
        <w:tc>
          <w:tcPr>
            <w:tcW w:w="155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b/>
                <w:sz w:val="18"/>
                <w:szCs w:val="18"/>
              </w:rPr>
              <w:t>Competencias específicas</w:t>
            </w:r>
          </w:p>
        </w:tc>
        <w:tc>
          <w:tcPr>
            <w:tcW w:w="463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ind w:start="105" w:end="190"/>
              <w:jc w:val="both"/>
              <w:rPr/>
            </w:pPr>
            <w:r>
              <w:rPr>
                <w:rFonts w:eastAsia="Gill Sans" w:cs="Gill Sans" w:ascii="Gill Sans" w:hAnsi="Gill Sans"/>
                <w:sz w:val="18"/>
                <w:szCs w:val="18"/>
              </w:rPr>
              <w:t>CE1: Brindar una formación especializada en el estudio de la normativa laboral y de seguridad social, pero no sólo desde la perspectiva jurídica, sino también desde una perspectiva interdisciplinaria que nos aporte una mirada crítica a las normas y de su desempeño en la realidad (enfoque económico y sociológico).</w:t>
            </w:r>
          </w:p>
        </w:tc>
        <w:tc>
          <w:tcPr>
            <w:tcW w:w="1995"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sz w:val="18"/>
                <w:szCs w:val="18"/>
              </w:rPr>
              <w:t>RA1, RA2, RA3, RA4, RA5, RA6</w:t>
            </w:r>
          </w:p>
        </w:tc>
      </w:tr>
      <w:tr>
        <w:trPr>
          <w:trHeight w:val="345" w:hRule="atLeast"/>
        </w:trPr>
        <w:tc>
          <w:tcPr>
            <w:tcW w:w="1550" w:type="dxa"/>
            <w:vMerge w:val="restart"/>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b/>
                <w:sz w:val="18"/>
                <w:szCs w:val="18"/>
              </w:rPr>
              <w:t>Competencias genéricas</w:t>
            </w:r>
          </w:p>
        </w:tc>
        <w:tc>
          <w:tcPr>
            <w:tcW w:w="463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ind w:start="105" w:end="190"/>
              <w:jc w:val="both"/>
              <w:rPr/>
            </w:pPr>
            <w:r>
              <w:rPr>
                <w:rFonts w:eastAsia="Gill Sans" w:cs="Gill Sans" w:ascii="Gill Sans" w:hAnsi="Gill Sans"/>
                <w:sz w:val="18"/>
                <w:szCs w:val="18"/>
              </w:rPr>
              <w:t>CG1: Aprendizaje autónomo y adaptabilidad: Gestiona su proceso de aprendizaje de manera autónoma, empleando recursos digitales e informacionales. Así mismo, se adapta a las condiciones cambiantes del entorno, planteando soluciones a los conflictos de manera asertiva.</w:t>
            </w:r>
          </w:p>
        </w:tc>
        <w:tc>
          <w:tcPr>
            <w:tcW w:w="1995"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sz w:val="18"/>
                <w:szCs w:val="18"/>
              </w:rPr>
              <w:t>RA1, RA2, RA3, RA4, RA5, RA6</w:t>
            </w:r>
          </w:p>
        </w:tc>
      </w:tr>
      <w:tr>
        <w:trPr>
          <w:trHeight w:val="345" w:hRule="atLeast"/>
        </w:trPr>
        <w:tc>
          <w:tcPr>
            <w:tcW w:w="1550" w:type="dxa"/>
            <w:vMerge w:val="continue"/>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spacing w:lineRule="auto" w:line="276"/>
              <w:rPr>
                <w:rFonts w:ascii="Gill Sans" w:hAnsi="Gill Sans" w:eastAsia="Gill Sans" w:cs="Gill Sans"/>
                <w:sz w:val="18"/>
                <w:szCs w:val="18"/>
              </w:rPr>
            </w:pPr>
            <w:r>
              <w:rPr>
                <w:rFonts w:eastAsia="Gill Sans" w:cs="Gill Sans" w:ascii="Gill Sans" w:hAnsi="Gill Sans"/>
                <w:sz w:val="18"/>
                <w:szCs w:val="18"/>
              </w:rPr>
            </w:r>
          </w:p>
        </w:tc>
        <w:tc>
          <w:tcPr>
            <w:tcW w:w="463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ind w:start="105" w:end="190"/>
              <w:jc w:val="both"/>
              <w:rPr/>
            </w:pPr>
            <w:r>
              <w:rPr>
                <w:rFonts w:eastAsia="Gill Sans" w:cs="Gill Sans" w:ascii="Gill Sans" w:hAnsi="Gill Sans"/>
                <w:sz w:val="18"/>
                <w:szCs w:val="18"/>
              </w:rPr>
              <w:t>CG2: Ética, ciudadanía y conciencia ambiental: Actúa con responsabilidad ética y ciudadana, reconoce y respeta la diversidad, la autonomía y la dignidad de los demás, así como la importancia de su entorno y del medioambiente.</w:t>
            </w:r>
          </w:p>
        </w:tc>
        <w:tc>
          <w:tcPr>
            <w:tcW w:w="1995"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sz w:val="18"/>
                <w:szCs w:val="18"/>
              </w:rPr>
              <w:t>RA1, RA2, RA3, RA4, RA5, RA6</w:t>
            </w:r>
          </w:p>
        </w:tc>
      </w:tr>
      <w:tr>
        <w:trPr>
          <w:trHeight w:val="345" w:hRule="atLeast"/>
        </w:trPr>
        <w:tc>
          <w:tcPr>
            <w:tcW w:w="1550" w:type="dxa"/>
            <w:vMerge w:val="continue"/>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spacing w:lineRule="auto" w:line="276"/>
              <w:rPr>
                <w:rFonts w:ascii="Gill Sans" w:hAnsi="Gill Sans" w:eastAsia="Gill Sans" w:cs="Gill Sans"/>
                <w:sz w:val="18"/>
                <w:szCs w:val="18"/>
              </w:rPr>
            </w:pPr>
            <w:r>
              <w:rPr>
                <w:rFonts w:eastAsia="Gill Sans" w:cs="Gill Sans" w:ascii="Gill Sans" w:hAnsi="Gill Sans"/>
                <w:sz w:val="18"/>
                <w:szCs w:val="18"/>
              </w:rPr>
            </w:r>
          </w:p>
        </w:tc>
        <w:tc>
          <w:tcPr>
            <w:tcW w:w="463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ind w:start="105" w:end="190"/>
              <w:jc w:val="both"/>
              <w:rPr/>
            </w:pPr>
            <w:r>
              <w:rPr>
                <w:rFonts w:eastAsia="Gill Sans" w:cs="Gill Sans" w:ascii="Gill Sans" w:hAnsi="Gill Sans"/>
                <w:sz w:val="18"/>
                <w:szCs w:val="18"/>
              </w:rPr>
              <w:t>CG3: Investigación, creación e innovación: Emplea métodos de investigación acordes con su objeto de estudio y presenta formalmente sus resultados. Crea procesos, productos o expresiones materiales, tecnológicos o conceptuales para dar respuesta a problemas o cuestionamientos.</w:t>
            </w:r>
          </w:p>
        </w:tc>
        <w:tc>
          <w:tcPr>
            <w:tcW w:w="1995"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sz w:val="18"/>
                <w:szCs w:val="18"/>
              </w:rPr>
              <w:t>RA1, RA2, RA3, RA4, RA5, RA6</w:t>
            </w:r>
          </w:p>
        </w:tc>
      </w:tr>
      <w:tr>
        <w:trPr>
          <w:trHeight w:val="345" w:hRule="atLeast"/>
        </w:trPr>
        <w:tc>
          <w:tcPr>
            <w:tcW w:w="1550" w:type="dxa"/>
            <w:vMerge w:val="continue"/>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spacing w:lineRule="auto" w:line="276"/>
              <w:rPr>
                <w:rFonts w:ascii="Gill Sans" w:hAnsi="Gill Sans" w:eastAsia="Gill Sans" w:cs="Gill Sans"/>
                <w:sz w:val="18"/>
                <w:szCs w:val="18"/>
              </w:rPr>
            </w:pPr>
            <w:r>
              <w:rPr>
                <w:rFonts w:eastAsia="Gill Sans" w:cs="Gill Sans" w:ascii="Gill Sans" w:hAnsi="Gill Sans"/>
                <w:sz w:val="18"/>
                <w:szCs w:val="18"/>
              </w:rPr>
            </w:r>
          </w:p>
        </w:tc>
        <w:tc>
          <w:tcPr>
            <w:tcW w:w="463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ind w:start="105" w:end="190"/>
              <w:jc w:val="both"/>
              <w:rPr/>
            </w:pPr>
            <w:r>
              <w:rPr>
                <w:rFonts w:eastAsia="Gill Sans" w:cs="Gill Sans" w:ascii="Gill Sans" w:hAnsi="Gill Sans"/>
                <w:sz w:val="18"/>
                <w:szCs w:val="18"/>
              </w:rPr>
              <w:t>CG4: Pensamiento crítico y creativo: Evalúa ideas y hechos desde diversos puntos de vista considerando las evidencias y la solidez de la información para emitir un juicio reflexivo. Propone ideas flexibles, creativas e innovadoras en la solución de problemas.</w:t>
            </w:r>
          </w:p>
        </w:tc>
        <w:tc>
          <w:tcPr>
            <w:tcW w:w="1995"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sz w:val="18"/>
                <w:szCs w:val="18"/>
              </w:rPr>
              <w:t>RA1, RA2, RA3, RA4, RA5, RA6</w:t>
            </w:r>
          </w:p>
        </w:tc>
      </w:tr>
      <w:tr>
        <w:trPr>
          <w:trHeight w:val="345" w:hRule="atLeast"/>
        </w:trPr>
        <w:tc>
          <w:tcPr>
            <w:tcW w:w="1550" w:type="dxa"/>
            <w:vMerge w:val="continue"/>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spacing w:lineRule="auto" w:line="276"/>
              <w:rPr>
                <w:rFonts w:ascii="Gill Sans" w:hAnsi="Gill Sans" w:eastAsia="Gill Sans" w:cs="Gill Sans"/>
                <w:sz w:val="18"/>
                <w:szCs w:val="18"/>
              </w:rPr>
            </w:pPr>
            <w:r>
              <w:rPr>
                <w:rFonts w:eastAsia="Gill Sans" w:cs="Gill Sans" w:ascii="Gill Sans" w:hAnsi="Gill Sans"/>
                <w:sz w:val="18"/>
                <w:szCs w:val="18"/>
              </w:rPr>
            </w:r>
          </w:p>
        </w:tc>
        <w:tc>
          <w:tcPr>
            <w:tcW w:w="463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ind w:start="105" w:end="190"/>
              <w:jc w:val="both"/>
              <w:rPr/>
            </w:pPr>
            <w:r>
              <w:rPr>
                <w:rFonts w:eastAsia="Gill Sans" w:cs="Gill Sans" w:ascii="Gill Sans" w:hAnsi="Gill Sans"/>
                <w:sz w:val="18"/>
                <w:szCs w:val="18"/>
              </w:rPr>
              <w:t>CG5: Habilidades colaborativas: Trabaja de manera colaborativa, con respeto a los demás, para el logro de un objetivo común. En el proceso, reconoce sus emociones y las de los demás, y actúa con empatía en sus relaciones interpersonales.</w:t>
            </w:r>
          </w:p>
        </w:tc>
        <w:tc>
          <w:tcPr>
            <w:tcW w:w="1995"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sz w:val="18"/>
                <w:szCs w:val="18"/>
              </w:rPr>
              <w:t>RA1, RA2, RA3, RA4, RA5, RA6</w:t>
            </w:r>
          </w:p>
        </w:tc>
      </w:tr>
      <w:tr>
        <w:trPr>
          <w:trHeight w:val="345" w:hRule="atLeast"/>
        </w:trPr>
        <w:tc>
          <w:tcPr>
            <w:tcW w:w="1550" w:type="dxa"/>
            <w:vMerge w:val="continue"/>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spacing w:lineRule="auto" w:line="276"/>
              <w:rPr>
                <w:rFonts w:ascii="Gill Sans" w:hAnsi="Gill Sans" w:eastAsia="Gill Sans" w:cs="Gill Sans"/>
                <w:sz w:val="18"/>
                <w:szCs w:val="18"/>
              </w:rPr>
            </w:pPr>
            <w:r>
              <w:rPr>
                <w:rFonts w:eastAsia="Gill Sans" w:cs="Gill Sans" w:ascii="Gill Sans" w:hAnsi="Gill Sans"/>
                <w:sz w:val="18"/>
                <w:szCs w:val="18"/>
              </w:rPr>
            </w:r>
          </w:p>
        </w:tc>
        <w:tc>
          <w:tcPr>
            <w:tcW w:w="4630"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ind w:start="105" w:end="190"/>
              <w:jc w:val="both"/>
              <w:rPr/>
            </w:pPr>
            <w:r>
              <w:rPr>
                <w:rFonts w:eastAsia="Gill Sans" w:cs="Gill Sans" w:ascii="Gill Sans" w:hAnsi="Gill Sans"/>
                <w:sz w:val="18"/>
                <w:szCs w:val="18"/>
              </w:rPr>
              <w:t>CG6: Comunicación eficaz: oral, escrita y no verbal: Comprende, con actitud de escucha activa, y produce, de forma fundamentada, mensajes con claridad, coherencia y solidez, mediante un lenguaje formal oral o escrito, así como con recursos no verbales que refuerzan la comunicación.</w:t>
            </w:r>
          </w:p>
        </w:tc>
        <w:tc>
          <w:tcPr>
            <w:tcW w:w="1995" w:type="dxa"/>
            <w:tcBorders>
              <w:top w:val="single" w:sz="6" w:space="0" w:color="000000"/>
              <w:start w:val="single" w:sz="6" w:space="0" w:color="000000"/>
              <w:bottom w:val="single" w:sz="6" w:space="0" w:color="000000"/>
              <w:end w:val="single" w:sz="6" w:space="0" w:color="000000"/>
            </w:tcBorders>
            <w:shd w:color="auto" w:fill="auto" w:val="clear"/>
            <w:vAlign w:val="center"/>
          </w:tcPr>
          <w:p>
            <w:pPr>
              <w:pStyle w:val="Normal"/>
              <w:widowControl w:val="false"/>
              <w:jc w:val="center"/>
              <w:rPr/>
            </w:pPr>
            <w:r>
              <w:rPr>
                <w:rFonts w:eastAsia="Gill Sans" w:cs="Gill Sans" w:ascii="Gill Sans" w:hAnsi="Gill Sans"/>
                <w:sz w:val="18"/>
                <w:szCs w:val="18"/>
              </w:rPr>
              <w:t>RA1, RA2, RA3, RA4, RA5, RA6</w:t>
            </w:r>
          </w:p>
        </w:tc>
      </w:tr>
    </w:tbl>
    <w:p>
      <w:pPr>
        <w:pStyle w:val="Normal"/>
        <w:jc w:val="both"/>
        <w:rPr>
          <w:color w:val="0000FF"/>
          <w:sz w:val="20"/>
          <w:szCs w:val="20"/>
        </w:rPr>
      </w:pPr>
      <w:r>
        <w:rPr>
          <w:color w:val="0000FF"/>
          <w:sz w:val="20"/>
          <w:szCs w:val="20"/>
        </w:rPr>
      </w:r>
    </w:p>
    <w:p>
      <w:pPr>
        <w:pStyle w:val="Normal"/>
        <w:jc w:val="both"/>
        <w:rPr>
          <w:color w:val="0000FF"/>
          <w:sz w:val="20"/>
          <w:szCs w:val="20"/>
        </w:rPr>
      </w:pPr>
      <w:r>
        <w:rPr>
          <w:color w:val="0000FF"/>
          <w:sz w:val="20"/>
          <w:szCs w:val="20"/>
        </w:rPr>
      </w:r>
    </w:p>
    <w:p>
      <w:pPr>
        <w:pStyle w:val="Normal"/>
        <w:numPr>
          <w:ilvl w:val="0"/>
          <w:numId w:val="3"/>
        </w:numPr>
        <w:ind w:hanging="142" w:start="142"/>
        <w:rPr/>
      </w:pPr>
      <w:r>
        <w:rPr>
          <w:rFonts w:eastAsia="Gill Sans" w:cs="Gill Sans" w:ascii="Gill Sans" w:hAnsi="Gill Sans"/>
          <w:b/>
          <w:color w:val="002060"/>
          <w:sz w:val="22"/>
          <w:szCs w:val="22"/>
        </w:rPr>
        <w:t>CONTENIDO TEMÁTICO</w:t>
      </w:r>
    </w:p>
    <w:p>
      <w:pPr>
        <w:pStyle w:val="Normal"/>
        <w:ind w:start="142"/>
        <w:rPr>
          <w:rFonts w:ascii="Gill Sans" w:hAnsi="Gill Sans" w:eastAsia="Gill Sans" w:cs="Gill Sans"/>
          <w:b/>
          <w:color w:val="000000"/>
          <w:sz w:val="22"/>
          <w:szCs w:val="22"/>
        </w:rPr>
      </w:pPr>
      <w:r>
        <w:rPr>
          <w:rFonts w:eastAsia="Gill Sans" w:cs="Gill Sans" w:ascii="Gill Sans" w:hAnsi="Gill Sans"/>
          <w:b/>
          <w:color w:val="000000"/>
          <w:sz w:val="22"/>
          <w:szCs w:val="22"/>
        </w:rPr>
      </w:r>
    </w:p>
    <w:p>
      <w:pPr>
        <w:pStyle w:val="Normal"/>
        <w:jc w:val="both"/>
        <w:rPr>
          <w:rFonts w:ascii="Gill Sans" w:hAnsi="Gill Sans" w:eastAsia="Gill Sans" w:cs="Gill Sans"/>
          <w:b/>
          <w:sz w:val="20"/>
          <w:szCs w:val="20"/>
        </w:rPr>
      </w:pPr>
      <w:r>
        <w:rPr>
          <w:rFonts w:eastAsia="Gill Sans" w:cs="Gill Sans" w:ascii="Gill Sans" w:hAnsi="Gill Sans"/>
          <w:b/>
          <w:sz w:val="20"/>
          <w:szCs w:val="20"/>
        </w:rPr>
        <w:t>UNIDAD I: Fundamentos del proceso laboral; pretensiones deducibles en juicio</w:t>
      </w:r>
    </w:p>
    <w:p>
      <w:pPr>
        <w:pStyle w:val="Normal"/>
        <w:jc w:val="both"/>
        <w:rPr>
          <w:rFonts w:ascii="Gill Sans" w:hAnsi="Gill Sans" w:eastAsia="Gill Sans" w:cs="Gill Sans"/>
          <w:b/>
          <w:sz w:val="20"/>
          <w:szCs w:val="20"/>
          <w:shd w:fill="FFF2CC" w:val="clear"/>
        </w:rPr>
      </w:pPr>
      <w:r>
        <w:rPr>
          <w:rFonts w:eastAsia="Gill Sans" w:cs="Gill Sans" w:ascii="Gill Sans" w:hAnsi="Gill Sans"/>
          <w:b/>
          <w:sz w:val="20"/>
          <w:szCs w:val="20"/>
          <w:shd w:fill="FFF2CC" w:val="clear"/>
        </w:rPr>
      </w:r>
    </w:p>
    <w:p>
      <w:pPr>
        <w:pStyle w:val="Normal"/>
        <w:jc w:val="both"/>
        <w:rPr/>
      </w:pPr>
      <w:r>
        <w:rPr>
          <w:rFonts w:eastAsia="Gill Sans" w:cs="Gill Sans" w:ascii="Gill Sans" w:hAnsi="Gill Sans"/>
          <w:b/>
          <w:sz w:val="20"/>
          <w:szCs w:val="20"/>
        </w:rPr>
        <w:t>Tema 1:</w:t>
      </w:r>
      <w:r>
        <w:rPr>
          <w:rFonts w:eastAsia="Gill Sans" w:cs="Gill Sans" w:ascii="Gill Sans" w:hAnsi="Gill Sans"/>
          <w:sz w:val="20"/>
          <w:szCs w:val="20"/>
        </w:rPr>
        <w:t xml:space="preserve"> La reforma de los procesos laborales en América Latina.</w:t>
      </w:r>
    </w:p>
    <w:p>
      <w:pPr>
        <w:pStyle w:val="Normal"/>
        <w:ind w:start="850"/>
        <w:jc w:val="both"/>
        <w:rPr/>
      </w:pPr>
      <w:r>
        <w:rPr>
          <w:rFonts w:eastAsia="Gill Sans" w:cs="Gill Sans" w:ascii="Gill Sans" w:hAnsi="Gill Sans"/>
          <w:sz w:val="20"/>
          <w:szCs w:val="20"/>
        </w:rPr>
        <w:t>- Los principales ejes de las reformas en América Latina: oralidad, tecnología y acceso a la justicia.</w:t>
      </w:r>
    </w:p>
    <w:p>
      <w:pPr>
        <w:pStyle w:val="Normal"/>
        <w:ind w:start="850"/>
        <w:jc w:val="both"/>
        <w:rPr/>
      </w:pPr>
      <w:r>
        <w:rPr>
          <w:rFonts w:eastAsia="Gill Sans" w:cs="Gill Sans" w:ascii="Gill Sans" w:hAnsi="Gill Sans"/>
          <w:sz w:val="20"/>
          <w:szCs w:val="20"/>
        </w:rPr>
        <w:t>- Una mirada desde el proceso laboral peruano, a modo de referencia.</w:t>
      </w:r>
    </w:p>
    <w:p>
      <w:pPr>
        <w:pStyle w:val="Normal"/>
        <w:jc w:val="both"/>
        <w:rPr/>
      </w:pPr>
      <w:r>
        <w:rPr>
          <w:rFonts w:eastAsia="Gill Sans" w:cs="Gill Sans" w:ascii="Gill Sans" w:hAnsi="Gill Sans"/>
          <w:b/>
          <w:sz w:val="20"/>
          <w:szCs w:val="20"/>
        </w:rPr>
        <w:t>Tema 2:</w:t>
      </w:r>
      <w:r>
        <w:rPr>
          <w:rFonts w:eastAsia="Gill Sans" w:cs="Gill Sans" w:ascii="Gill Sans" w:hAnsi="Gill Sans"/>
          <w:sz w:val="20"/>
          <w:szCs w:val="20"/>
        </w:rPr>
        <w:t xml:space="preserve"> Principios (y fundamentos) del proceso laboral</w:t>
      </w:r>
    </w:p>
    <w:p>
      <w:pPr>
        <w:pStyle w:val="Normal"/>
        <w:ind w:firstLine="850"/>
        <w:jc w:val="both"/>
        <w:rPr/>
      </w:pPr>
      <w:r>
        <w:rPr>
          <w:rFonts w:eastAsia="Gill Sans" w:cs="Gill Sans" w:ascii="Gill Sans" w:hAnsi="Gill Sans"/>
          <w:sz w:val="20"/>
          <w:szCs w:val="20"/>
        </w:rPr>
        <w:t>- Principios y fundamentos del proceso laboral en general.</w:t>
      </w:r>
    </w:p>
    <w:p>
      <w:pPr>
        <w:pStyle w:val="Normal"/>
        <w:ind w:firstLine="850"/>
        <w:jc w:val="both"/>
        <w:rPr/>
      </w:pPr>
      <w:r>
        <w:rPr>
          <w:rFonts w:eastAsia="Gill Sans" w:cs="Gill Sans" w:ascii="Gill Sans" w:hAnsi="Gill Sans"/>
          <w:sz w:val="20"/>
          <w:szCs w:val="20"/>
        </w:rPr>
        <w:t>- Principios y fundamentos del proceso laboral peruano.</w:t>
      </w:r>
    </w:p>
    <w:p>
      <w:pPr>
        <w:pStyle w:val="Normal"/>
        <w:jc w:val="both"/>
        <w:rPr/>
      </w:pPr>
      <w:r>
        <w:rPr>
          <w:rFonts w:eastAsia="Gill Sans" w:cs="Gill Sans" w:ascii="Gill Sans" w:hAnsi="Gill Sans"/>
          <w:b/>
          <w:sz w:val="20"/>
          <w:szCs w:val="20"/>
        </w:rPr>
        <w:t xml:space="preserve">Tema 3: </w:t>
      </w:r>
      <w:r>
        <w:rPr>
          <w:rFonts w:eastAsia="Gill Sans" w:cs="Gill Sans" w:ascii="Gill Sans" w:hAnsi="Gill Sans"/>
          <w:sz w:val="20"/>
          <w:szCs w:val="20"/>
        </w:rPr>
        <w:t xml:space="preserve">Poderes de los jueces </w:t>
      </w:r>
    </w:p>
    <w:p>
      <w:pPr>
        <w:pStyle w:val="Normal"/>
        <w:ind w:firstLine="850"/>
        <w:jc w:val="both"/>
        <w:rPr/>
      </w:pPr>
      <w:r>
        <w:rPr>
          <w:rFonts w:eastAsia="Gill Sans" w:cs="Gill Sans" w:ascii="Gill Sans" w:hAnsi="Gill Sans"/>
          <w:sz w:val="20"/>
          <w:szCs w:val="20"/>
        </w:rPr>
        <w:t>- Revisión de los poderes de los jueces en el proceso laboral peruano.</w:t>
      </w:r>
    </w:p>
    <w:p>
      <w:pPr>
        <w:pStyle w:val="Normal"/>
        <w:jc w:val="both"/>
        <w:rPr/>
      </w:pPr>
      <w:r>
        <w:rPr>
          <w:rFonts w:eastAsia="Gill Sans" w:cs="Gill Sans" w:ascii="Gill Sans" w:hAnsi="Gill Sans"/>
          <w:b/>
          <w:sz w:val="20"/>
          <w:szCs w:val="20"/>
        </w:rPr>
        <w:t xml:space="preserve">Tema 4: </w:t>
      </w:r>
      <w:r>
        <w:rPr>
          <w:rFonts w:eastAsia="Gill Sans" w:cs="Gill Sans" w:ascii="Gill Sans" w:hAnsi="Gill Sans"/>
          <w:sz w:val="20"/>
          <w:szCs w:val="20"/>
        </w:rPr>
        <w:t>Pretensiones en la justicia laboral</w:t>
      </w:r>
    </w:p>
    <w:p>
      <w:pPr>
        <w:pStyle w:val="Normal"/>
        <w:ind w:start="850"/>
        <w:jc w:val="both"/>
        <w:rPr/>
      </w:pPr>
      <w:r>
        <w:rPr>
          <w:rFonts w:eastAsia="Gill Sans" w:cs="Gill Sans" w:ascii="Gill Sans" w:hAnsi="Gill Sans"/>
          <w:sz w:val="20"/>
          <w:szCs w:val="20"/>
        </w:rPr>
        <w:t>- Revisión de las pretensiones o materias laborales y de su regulación en el ordenamiento peruano.</w:t>
      </w:r>
    </w:p>
    <w:p>
      <w:pPr>
        <w:pStyle w:val="Normal"/>
        <w:ind w:start="850"/>
        <w:jc w:val="both"/>
        <w:rPr>
          <w:rFonts w:ascii="Gill Sans" w:hAnsi="Gill Sans" w:eastAsia="Gill Sans" w:cs="Gill Sans"/>
          <w:sz w:val="20"/>
          <w:szCs w:val="20"/>
        </w:rPr>
      </w:pPr>
      <w:r>
        <w:rPr>
          <w:rFonts w:eastAsia="Gill Sans" w:cs="Gill Sans" w:ascii="Gill Sans" w:hAnsi="Gill Sans"/>
          <w:sz w:val="20"/>
          <w:szCs w:val="20"/>
        </w:rPr>
      </w:r>
    </w:p>
    <w:p>
      <w:pPr>
        <w:pStyle w:val="Normal"/>
        <w:jc w:val="both"/>
        <w:rPr>
          <w:rFonts w:ascii="Gill Sans" w:hAnsi="Gill Sans" w:eastAsia="Gill Sans" w:cs="Gill Sans"/>
          <w:b/>
          <w:sz w:val="20"/>
          <w:szCs w:val="20"/>
        </w:rPr>
      </w:pPr>
      <w:r>
        <w:rPr>
          <w:rFonts w:eastAsia="Gill Sans" w:cs="Gill Sans" w:ascii="Gill Sans" w:hAnsi="Gill Sans"/>
          <w:b/>
          <w:sz w:val="20"/>
          <w:szCs w:val="20"/>
        </w:rPr>
        <w:t>UNIDAD II: Tipos de procesos; actos procesales; y medios impugnatorios</w:t>
      </w:r>
    </w:p>
    <w:p>
      <w:pPr>
        <w:pStyle w:val="Normal"/>
        <w:jc w:val="both"/>
        <w:rPr>
          <w:rFonts w:ascii="Gill Sans" w:hAnsi="Gill Sans" w:eastAsia="Gill Sans" w:cs="Gill Sans"/>
          <w:b/>
          <w:sz w:val="20"/>
          <w:szCs w:val="20"/>
        </w:rPr>
      </w:pPr>
      <w:r>
        <w:rPr>
          <w:rFonts w:eastAsia="Gill Sans" w:cs="Gill Sans" w:ascii="Gill Sans" w:hAnsi="Gill Sans"/>
          <w:b/>
          <w:sz w:val="20"/>
          <w:szCs w:val="20"/>
        </w:rPr>
      </w:r>
    </w:p>
    <w:p>
      <w:pPr>
        <w:pStyle w:val="Normal"/>
        <w:jc w:val="both"/>
        <w:rPr/>
      </w:pPr>
      <w:r>
        <w:rPr>
          <w:rFonts w:eastAsia="Gill Sans" w:cs="Gill Sans" w:ascii="Gill Sans" w:hAnsi="Gill Sans"/>
          <w:b/>
          <w:sz w:val="20"/>
          <w:szCs w:val="20"/>
        </w:rPr>
        <w:t>Tema 1:</w:t>
      </w:r>
      <w:r>
        <w:rPr>
          <w:rFonts w:eastAsia="Gill Sans" w:cs="Gill Sans" w:ascii="Gill Sans" w:hAnsi="Gill Sans"/>
          <w:sz w:val="20"/>
          <w:szCs w:val="20"/>
        </w:rPr>
        <w:t xml:space="preserve"> Tipos de procesos (netamente) laborales</w:t>
      </w:r>
    </w:p>
    <w:p>
      <w:pPr>
        <w:pStyle w:val="Normal"/>
        <w:ind w:start="850"/>
        <w:jc w:val="both"/>
        <w:rPr/>
      </w:pPr>
      <w:r>
        <w:rPr>
          <w:rFonts w:eastAsia="Gill Sans" w:cs="Gill Sans" w:ascii="Gill Sans" w:hAnsi="Gill Sans"/>
          <w:sz w:val="20"/>
          <w:szCs w:val="20"/>
        </w:rPr>
        <w:t>- Exposición de los procesos de conocimiento en la NLPT: ordinario, abreviado, único y de</w:t>
      </w:r>
    </w:p>
    <w:p>
      <w:pPr>
        <w:pStyle w:val="Normal"/>
        <w:ind w:start="850"/>
        <w:jc w:val="both"/>
        <w:rPr/>
      </w:pPr>
      <w:r>
        <w:rPr>
          <w:rFonts w:eastAsia="Gill Sans" w:cs="Gill Sans" w:ascii="Gill Sans" w:hAnsi="Gill Sans"/>
          <w:sz w:val="20"/>
          <w:szCs w:val="20"/>
        </w:rPr>
        <w:t>impugnación de los laudos arbitrales económicos.</w:t>
      </w:r>
    </w:p>
    <w:p>
      <w:pPr>
        <w:pStyle w:val="Normal"/>
        <w:jc w:val="both"/>
        <w:rPr/>
      </w:pPr>
      <w:r>
        <w:rPr>
          <w:rFonts w:eastAsia="Gill Sans" w:cs="Gill Sans" w:ascii="Gill Sans" w:hAnsi="Gill Sans"/>
          <w:b/>
          <w:sz w:val="20"/>
          <w:szCs w:val="20"/>
        </w:rPr>
        <w:t>Tema 2:</w:t>
      </w:r>
      <w:r>
        <w:rPr>
          <w:rFonts w:eastAsia="Gill Sans" w:cs="Gill Sans" w:ascii="Gill Sans" w:hAnsi="Gill Sans"/>
          <w:sz w:val="20"/>
          <w:szCs w:val="20"/>
        </w:rPr>
        <w:t xml:space="preserve"> Otros tipos de proceso (no netamente laborales). </w:t>
      </w:r>
    </w:p>
    <w:p>
      <w:pPr>
        <w:pStyle w:val="Normal"/>
        <w:ind w:start="850"/>
        <w:jc w:val="both"/>
        <w:rPr/>
      </w:pPr>
      <w:r>
        <w:rPr>
          <w:rFonts w:eastAsia="Gill Sans" w:cs="Gill Sans" w:ascii="Gill Sans" w:hAnsi="Gill Sans"/>
          <w:sz w:val="20"/>
          <w:szCs w:val="20"/>
        </w:rPr>
        <w:t>- Revisión del proceso contencioso administrativo en materia laboral y de la acción de amparo.</w:t>
      </w:r>
    </w:p>
    <w:p>
      <w:pPr>
        <w:pStyle w:val="Normal"/>
        <w:jc w:val="both"/>
        <w:rPr/>
      </w:pPr>
      <w:r>
        <w:rPr>
          <w:rFonts w:eastAsia="Gill Sans" w:cs="Gill Sans" w:ascii="Gill Sans" w:hAnsi="Gill Sans"/>
          <w:b/>
          <w:sz w:val="20"/>
          <w:szCs w:val="20"/>
        </w:rPr>
        <w:t xml:space="preserve">Tema 3: </w:t>
      </w:r>
      <w:r>
        <w:rPr>
          <w:rFonts w:eastAsia="Gill Sans" w:cs="Gill Sans" w:ascii="Gill Sans" w:hAnsi="Gill Sans"/>
          <w:sz w:val="20"/>
          <w:szCs w:val="20"/>
        </w:rPr>
        <w:t>Los actos procesales: demanda, contestación y sentencia</w:t>
      </w:r>
    </w:p>
    <w:p>
      <w:pPr>
        <w:pStyle w:val="Normal"/>
        <w:ind w:start="850"/>
        <w:jc w:val="both"/>
        <w:rPr/>
      </w:pPr>
      <w:r>
        <w:rPr>
          <w:rFonts w:eastAsia="Gill Sans" w:cs="Gill Sans" w:ascii="Gill Sans" w:hAnsi="Gill Sans"/>
          <w:sz w:val="20"/>
          <w:szCs w:val="20"/>
        </w:rPr>
        <w:t>- Revisión de los requisitos y contenido de los principales actos procesales en la NLPT.</w:t>
      </w:r>
    </w:p>
    <w:p>
      <w:pPr>
        <w:pStyle w:val="Normal"/>
        <w:jc w:val="both"/>
        <w:rPr/>
      </w:pPr>
      <w:r>
        <w:rPr>
          <w:rFonts w:eastAsia="Gill Sans" w:cs="Gill Sans" w:ascii="Gill Sans" w:hAnsi="Gill Sans"/>
          <w:b/>
          <w:sz w:val="20"/>
          <w:szCs w:val="20"/>
        </w:rPr>
        <w:t>Tema 4:</w:t>
      </w:r>
      <w:r>
        <w:rPr>
          <w:rFonts w:eastAsia="Gill Sans" w:cs="Gill Sans" w:ascii="Gill Sans" w:hAnsi="Gill Sans"/>
          <w:sz w:val="20"/>
          <w:szCs w:val="20"/>
        </w:rPr>
        <w:t xml:space="preserve"> Medios impugnatorios.</w:t>
      </w:r>
    </w:p>
    <w:p>
      <w:pPr>
        <w:pStyle w:val="Normal"/>
        <w:ind w:start="850"/>
        <w:jc w:val="both"/>
        <w:rPr/>
      </w:pPr>
      <w:r>
        <w:rPr>
          <w:rFonts w:eastAsia="Gill Sans" w:cs="Gill Sans" w:ascii="Gill Sans" w:hAnsi="Gill Sans"/>
          <w:sz w:val="20"/>
          <w:szCs w:val="20"/>
        </w:rPr>
        <w:t>- Revisión de los principales medios impugnatorios en la NLPT.</w:t>
      </w:r>
    </w:p>
    <w:p>
      <w:pPr>
        <w:pStyle w:val="Normal"/>
        <w:jc w:val="both"/>
        <w:rPr/>
      </w:pPr>
      <w:r>
        <w:rPr>
          <w:rFonts w:eastAsia="Gill Sans" w:cs="Gill Sans" w:ascii="Gill Sans" w:hAnsi="Gill Sans"/>
          <w:b/>
          <w:sz w:val="20"/>
          <w:szCs w:val="20"/>
        </w:rPr>
        <w:t xml:space="preserve">Tema 5: </w:t>
      </w:r>
      <w:r>
        <w:rPr>
          <w:rFonts w:eastAsia="Gill Sans" w:cs="Gill Sans" w:ascii="Gill Sans" w:hAnsi="Gill Sans"/>
          <w:sz w:val="20"/>
          <w:szCs w:val="20"/>
        </w:rPr>
        <w:t>Casación</w:t>
      </w:r>
    </w:p>
    <w:p>
      <w:pPr>
        <w:pStyle w:val="Normal"/>
        <w:ind w:start="850"/>
        <w:jc w:val="both"/>
        <w:rPr/>
      </w:pPr>
      <w:r>
        <w:rPr>
          <w:rFonts w:eastAsia="Gill Sans" w:cs="Gill Sans" w:ascii="Gill Sans" w:hAnsi="Gill Sans"/>
          <w:sz w:val="20"/>
          <w:szCs w:val="20"/>
        </w:rPr>
        <w:t>- La casación laboral</w:t>
      </w:r>
    </w:p>
    <w:p>
      <w:pPr>
        <w:pStyle w:val="Normal"/>
        <w:jc w:val="both"/>
        <w:rPr>
          <w:rFonts w:ascii="Gill Sans" w:hAnsi="Gill Sans" w:eastAsia="Gill Sans" w:cs="Gill Sans"/>
          <w:sz w:val="20"/>
          <w:szCs w:val="20"/>
        </w:rPr>
      </w:pPr>
      <w:r>
        <w:rPr>
          <w:rFonts w:eastAsia="Gill Sans" w:cs="Gill Sans" w:ascii="Gill Sans" w:hAnsi="Gill Sans"/>
          <w:sz w:val="20"/>
          <w:szCs w:val="20"/>
        </w:rPr>
      </w:r>
    </w:p>
    <w:p>
      <w:pPr>
        <w:pStyle w:val="Normal"/>
        <w:jc w:val="both"/>
        <w:rPr>
          <w:rFonts w:ascii="Gill Sans" w:hAnsi="Gill Sans" w:eastAsia="Gill Sans" w:cs="Gill Sans"/>
          <w:b/>
          <w:sz w:val="20"/>
          <w:szCs w:val="20"/>
        </w:rPr>
      </w:pPr>
      <w:r>
        <w:rPr>
          <w:rFonts w:eastAsia="Gill Sans" w:cs="Gill Sans" w:ascii="Gill Sans" w:hAnsi="Gill Sans"/>
          <w:b/>
          <w:sz w:val="20"/>
          <w:szCs w:val="20"/>
        </w:rPr>
        <w:t>UNIDAD III: Mecanismos alternativos de resolución de conflictos. Solución de conflictos económicos. Participación de los sindicatos. Procesos colectivos</w:t>
      </w:r>
    </w:p>
    <w:p>
      <w:pPr>
        <w:pStyle w:val="Normal"/>
        <w:jc w:val="both"/>
        <w:rPr>
          <w:rFonts w:ascii="Gill Sans" w:hAnsi="Gill Sans" w:eastAsia="Gill Sans" w:cs="Gill Sans"/>
          <w:b/>
          <w:sz w:val="20"/>
          <w:szCs w:val="20"/>
        </w:rPr>
      </w:pPr>
      <w:r>
        <w:rPr>
          <w:rFonts w:eastAsia="Gill Sans" w:cs="Gill Sans" w:ascii="Gill Sans" w:hAnsi="Gill Sans"/>
          <w:b/>
          <w:sz w:val="20"/>
          <w:szCs w:val="20"/>
        </w:rPr>
      </w:r>
    </w:p>
    <w:p>
      <w:pPr>
        <w:pStyle w:val="Normal"/>
        <w:jc w:val="both"/>
        <w:rPr/>
      </w:pPr>
      <w:r>
        <w:rPr>
          <w:rFonts w:eastAsia="Gill Sans" w:cs="Gill Sans" w:ascii="Gill Sans" w:hAnsi="Gill Sans"/>
          <w:b/>
          <w:sz w:val="20"/>
          <w:szCs w:val="20"/>
        </w:rPr>
        <w:t xml:space="preserve">Tema 1: </w:t>
      </w:r>
      <w:r>
        <w:rPr>
          <w:rFonts w:eastAsia="Gill Sans" w:cs="Gill Sans" w:ascii="Gill Sans" w:hAnsi="Gill Sans"/>
          <w:sz w:val="20"/>
          <w:szCs w:val="20"/>
        </w:rPr>
        <w:t>Mecanismos alternativos de resolución de conflictos. Conciliación y arbitraje.</w:t>
      </w:r>
    </w:p>
    <w:p>
      <w:pPr>
        <w:pStyle w:val="Normal"/>
        <w:ind w:start="850"/>
        <w:jc w:val="both"/>
        <w:rPr/>
      </w:pPr>
      <w:r>
        <w:rPr>
          <w:rFonts w:eastAsia="Gill Sans" w:cs="Gill Sans" w:ascii="Gill Sans" w:hAnsi="Gill Sans"/>
          <w:sz w:val="20"/>
          <w:szCs w:val="20"/>
        </w:rPr>
        <w:t>- Revisión de los principales medios alternativos de resolución de conflictos en general.</w:t>
      </w:r>
    </w:p>
    <w:p>
      <w:pPr>
        <w:pStyle w:val="Normal"/>
        <w:jc w:val="both"/>
        <w:rPr/>
      </w:pPr>
      <w:r>
        <w:rPr>
          <w:rFonts w:eastAsia="Gill Sans" w:cs="Gill Sans" w:ascii="Gill Sans" w:hAnsi="Gill Sans"/>
          <w:b/>
          <w:sz w:val="20"/>
          <w:szCs w:val="20"/>
        </w:rPr>
        <w:t>Tema 2:</w:t>
      </w:r>
      <w:r>
        <w:rPr>
          <w:rFonts w:eastAsia="Gill Sans" w:cs="Gill Sans" w:ascii="Gill Sans" w:hAnsi="Gill Sans"/>
          <w:sz w:val="20"/>
          <w:szCs w:val="20"/>
        </w:rPr>
        <w:t xml:space="preserve"> Solución de los conflictos económicos. Participación de los sindicatos</w:t>
      </w:r>
    </w:p>
    <w:p>
      <w:pPr>
        <w:pStyle w:val="Normal"/>
        <w:ind w:start="850"/>
        <w:jc w:val="both"/>
        <w:rPr/>
      </w:pPr>
      <w:r>
        <w:rPr>
          <w:rFonts w:eastAsia="Gill Sans" w:cs="Gill Sans" w:ascii="Gill Sans" w:hAnsi="Gill Sans"/>
          <w:sz w:val="20"/>
          <w:szCs w:val="20"/>
        </w:rPr>
        <w:t>- Exposición sobre los tipos de conflictos laborales.</w:t>
      </w:r>
    </w:p>
    <w:p>
      <w:pPr>
        <w:pStyle w:val="Normal"/>
        <w:ind w:start="850"/>
        <w:jc w:val="both"/>
        <w:rPr/>
      </w:pPr>
      <w:r>
        <w:rPr>
          <w:rFonts w:eastAsia="Gill Sans" w:cs="Gill Sans" w:ascii="Gill Sans" w:hAnsi="Gill Sans"/>
          <w:sz w:val="20"/>
          <w:szCs w:val="20"/>
        </w:rPr>
        <w:t>- Revisión de las formas de impugnación de los convenios o laudos arbitrales económicos.</w:t>
      </w:r>
    </w:p>
    <w:p>
      <w:pPr>
        <w:pStyle w:val="Normal"/>
        <w:jc w:val="both"/>
        <w:rPr/>
      </w:pPr>
      <w:r>
        <w:rPr>
          <w:rFonts w:eastAsia="Gill Sans" w:cs="Gill Sans" w:ascii="Gill Sans" w:hAnsi="Gill Sans"/>
          <w:b/>
          <w:sz w:val="20"/>
          <w:szCs w:val="20"/>
        </w:rPr>
        <w:t xml:space="preserve">Tema 3: </w:t>
      </w:r>
      <w:r>
        <w:rPr>
          <w:rFonts w:eastAsia="Gill Sans" w:cs="Gill Sans" w:ascii="Gill Sans" w:hAnsi="Gill Sans"/>
          <w:sz w:val="20"/>
          <w:szCs w:val="20"/>
        </w:rPr>
        <w:t xml:space="preserve">Participación de los sindicatos </w:t>
      </w:r>
    </w:p>
    <w:p>
      <w:pPr>
        <w:pStyle w:val="Normal"/>
        <w:ind w:start="850"/>
        <w:jc w:val="both"/>
        <w:rPr/>
      </w:pPr>
      <w:r>
        <w:rPr>
          <w:rFonts w:eastAsia="Gill Sans" w:cs="Gill Sans" w:ascii="Gill Sans" w:hAnsi="Gill Sans"/>
          <w:sz w:val="20"/>
          <w:szCs w:val="20"/>
        </w:rPr>
        <w:t>- Revisión de la participación de los sindicatos en la NLPT.</w:t>
      </w:r>
    </w:p>
    <w:p>
      <w:pPr>
        <w:pStyle w:val="Normal"/>
        <w:ind w:start="850"/>
        <w:jc w:val="both"/>
        <w:rPr>
          <w:rFonts w:ascii="Gill Sans" w:hAnsi="Gill Sans" w:eastAsia="Gill Sans" w:cs="Gill Sans"/>
          <w:sz w:val="20"/>
          <w:szCs w:val="20"/>
        </w:rPr>
      </w:pPr>
      <w:r>
        <w:rPr>
          <w:rFonts w:eastAsia="Gill Sans" w:cs="Gill Sans" w:ascii="Gill Sans" w:hAnsi="Gill Sans"/>
          <w:sz w:val="20"/>
          <w:szCs w:val="20"/>
        </w:rPr>
      </w:r>
    </w:p>
    <w:p>
      <w:pPr>
        <w:pStyle w:val="Normal"/>
        <w:jc w:val="both"/>
        <w:rPr>
          <w:rFonts w:ascii="Gill Sans" w:hAnsi="Gill Sans" w:eastAsia="Gill Sans" w:cs="Gill Sans"/>
          <w:b/>
          <w:sz w:val="20"/>
          <w:szCs w:val="20"/>
        </w:rPr>
      </w:pPr>
      <w:r>
        <w:rPr>
          <w:rFonts w:eastAsia="Gill Sans" w:cs="Gill Sans" w:ascii="Gill Sans" w:hAnsi="Gill Sans"/>
          <w:b/>
          <w:sz w:val="20"/>
          <w:szCs w:val="20"/>
        </w:rPr>
        <w:t>UNIDAD IV: Teoría de la prueba y razonamiento probatorio</w:t>
      </w:r>
    </w:p>
    <w:p>
      <w:pPr>
        <w:pStyle w:val="Normal"/>
        <w:jc w:val="both"/>
        <w:rPr>
          <w:rFonts w:ascii="Gill Sans" w:hAnsi="Gill Sans" w:eastAsia="Gill Sans" w:cs="Gill Sans"/>
          <w:b/>
          <w:sz w:val="20"/>
          <w:szCs w:val="20"/>
        </w:rPr>
      </w:pPr>
      <w:r>
        <w:rPr>
          <w:rFonts w:eastAsia="Gill Sans" w:cs="Gill Sans" w:ascii="Gill Sans" w:hAnsi="Gill Sans"/>
          <w:b/>
          <w:sz w:val="20"/>
          <w:szCs w:val="20"/>
        </w:rPr>
      </w:r>
    </w:p>
    <w:p>
      <w:pPr>
        <w:pStyle w:val="Normal"/>
        <w:jc w:val="both"/>
        <w:rPr/>
      </w:pPr>
      <w:r>
        <w:rPr>
          <w:rFonts w:eastAsia="Gill Sans" w:cs="Gill Sans" w:ascii="Gill Sans" w:hAnsi="Gill Sans"/>
          <w:b/>
          <w:sz w:val="20"/>
          <w:szCs w:val="20"/>
        </w:rPr>
        <w:t xml:space="preserve">Tema 1: </w:t>
      </w:r>
      <w:r>
        <w:rPr>
          <w:rFonts w:eastAsia="Gill Sans" w:cs="Gill Sans" w:ascii="Gill Sans" w:hAnsi="Gill Sans"/>
          <w:sz w:val="20"/>
          <w:szCs w:val="20"/>
        </w:rPr>
        <w:t xml:space="preserve">Teoría de la prueba. </w:t>
      </w:r>
    </w:p>
    <w:p>
      <w:pPr>
        <w:pStyle w:val="Normal"/>
        <w:ind w:start="850"/>
        <w:jc w:val="both"/>
        <w:rPr/>
      </w:pPr>
      <w:r>
        <w:rPr>
          <w:rFonts w:eastAsia="Gill Sans" w:cs="Gill Sans" w:ascii="Gill Sans" w:hAnsi="Gill Sans"/>
          <w:sz w:val="20"/>
          <w:szCs w:val="20"/>
        </w:rPr>
        <w:t>- Revisión de la actuación probatoria y las presunciones.</w:t>
      </w:r>
    </w:p>
    <w:p>
      <w:pPr>
        <w:pStyle w:val="Normal"/>
        <w:jc w:val="both"/>
        <w:rPr/>
      </w:pPr>
      <w:r>
        <w:rPr>
          <w:rFonts w:eastAsia="Gill Sans" w:cs="Gill Sans" w:ascii="Gill Sans" w:hAnsi="Gill Sans"/>
          <w:b/>
          <w:sz w:val="20"/>
          <w:szCs w:val="20"/>
        </w:rPr>
        <w:t>Tema 2:</w:t>
      </w:r>
      <w:r>
        <w:rPr>
          <w:rFonts w:eastAsia="Gill Sans" w:cs="Gill Sans" w:ascii="Gill Sans" w:hAnsi="Gill Sans"/>
          <w:sz w:val="20"/>
          <w:szCs w:val="20"/>
        </w:rPr>
        <w:t xml:space="preserve"> Razonamiento probatorio. Primera parte.</w:t>
      </w:r>
    </w:p>
    <w:p>
      <w:pPr>
        <w:pStyle w:val="Normal"/>
        <w:jc w:val="both"/>
        <w:rPr/>
      </w:pPr>
      <w:r>
        <w:rPr>
          <w:rFonts w:eastAsia="Gill Sans" w:cs="Gill Sans" w:ascii="Gill Sans" w:hAnsi="Gill Sans"/>
          <w:b/>
          <w:sz w:val="20"/>
          <w:szCs w:val="20"/>
        </w:rPr>
        <w:t>Tema 3</w:t>
      </w:r>
      <w:r>
        <w:rPr>
          <w:rFonts w:eastAsia="Gill Sans" w:cs="Gill Sans" w:ascii="Gill Sans" w:hAnsi="Gill Sans"/>
          <w:sz w:val="20"/>
          <w:szCs w:val="20"/>
        </w:rPr>
        <w:t xml:space="preserve">: Razonamiento probatorio. Segunda parte. </w:t>
      </w:r>
    </w:p>
    <w:p>
      <w:pPr>
        <w:pStyle w:val="Normal"/>
        <w:ind w:start="142"/>
        <w:rPr>
          <w:rFonts w:ascii="Gill Sans" w:hAnsi="Gill Sans" w:eastAsia="Gill Sans" w:cs="Gill Sans"/>
          <w:b/>
          <w:sz w:val="22"/>
          <w:szCs w:val="22"/>
        </w:rPr>
      </w:pPr>
      <w:r>
        <w:rPr>
          <w:rFonts w:eastAsia="Gill Sans" w:cs="Gill Sans" w:ascii="Gill Sans" w:hAnsi="Gill Sans"/>
          <w:b/>
          <w:sz w:val="22"/>
          <w:szCs w:val="22"/>
        </w:rPr>
      </w:r>
    </w:p>
    <w:p>
      <w:pPr>
        <w:pStyle w:val="Normal"/>
        <w:numPr>
          <w:ilvl w:val="0"/>
          <w:numId w:val="3"/>
        </w:numPr>
        <w:ind w:hanging="142" w:start="142"/>
        <w:rPr/>
      </w:pPr>
      <w:r>
        <w:rPr>
          <w:rFonts w:eastAsia="Gill Sans" w:cs="Gill Sans" w:ascii="Gill Sans" w:hAnsi="Gill Sans"/>
          <w:b/>
          <w:color w:val="002060"/>
          <w:sz w:val="22"/>
          <w:szCs w:val="22"/>
        </w:rPr>
        <w:t>METODOLOGÍA</w:t>
      </w:r>
    </w:p>
    <w:p>
      <w:pPr>
        <w:pStyle w:val="Normal"/>
        <w:ind w:start="142"/>
        <w:rPr>
          <w:rFonts w:ascii="Gill Sans" w:hAnsi="Gill Sans" w:eastAsia="Gill Sans" w:cs="Gill Sans"/>
          <w:b/>
          <w:color w:val="000000"/>
          <w:sz w:val="22"/>
          <w:szCs w:val="22"/>
        </w:rPr>
      </w:pPr>
      <w:r>
        <w:rPr>
          <w:rFonts w:eastAsia="Gill Sans" w:cs="Gill Sans" w:ascii="Gill Sans" w:hAnsi="Gill Sans"/>
          <w:b/>
          <w:color w:val="000000"/>
          <w:sz w:val="22"/>
          <w:szCs w:val="22"/>
        </w:rPr>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El curso emplea una metodología activa y participativa orientada al logro de los resultados de aprendizaje (RA1 a RA6). Se busca que los estudiantes asuman un papel protagónico en su proceso de aprendizaje mediante las siguientes estrategias:</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Clases magistrales participativas.</w:t>
      </w:r>
      <w:r>
        <w:rPr>
          <w:rFonts w:eastAsia="Arial" w:cs="Arial" w:ascii="Gill Sans" w:hAnsi="Gill Sans"/>
          <w:sz w:val="20"/>
          <w:szCs w:val="20"/>
        </w:rPr>
        <w:t xml:space="preserve"> El docente presenta los contenidos de cada unidad temática promoviendo el diálogo, la discusión y el cuestionamiento crítico sobre los temas, las lecturas asignadas y la jurisprudencia del Tribunal Constitucional y de la Corte Suprema.</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Controles de lectura.</w:t>
      </w:r>
      <w:r>
        <w:rPr>
          <w:rFonts w:eastAsia="Arial" w:cs="Arial" w:ascii="Gill Sans" w:hAnsi="Gill Sans"/>
          <w:sz w:val="20"/>
          <w:szCs w:val="20"/>
        </w:rPr>
        <w:t xml:space="preserve"> Se aplicarán seis (6) controles de lectura a lo largo del semestre: tres antes del examen parcial y tres después. Cada control consiste en una o dos preguntas-problema que exigen al estudiante aplicar la lectura obligatoria asignada a un caso, situación o problema concreto. Los controles se realizan al inicio de la sesión y tienen una duración máxima de 15 minutos. Su propósito es asegurar la preparación previa del estudiante e incentivar la lectura crítica.</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Debates estructurados.</w:t>
      </w:r>
      <w:r>
        <w:rPr>
          <w:rFonts w:eastAsia="Arial" w:cs="Arial" w:ascii="Gill Sans" w:hAnsi="Gill Sans"/>
          <w:sz w:val="20"/>
          <w:szCs w:val="20"/>
        </w:rPr>
        <w:t xml:space="preserve"> En determinadas sesiones se organizarán debates en los que los estudiantes, divididos en grupos con posiciones asignadas, deberán argumentar a favor o en contra de una tesis vinculada al tema de la sesión. El docente modera y cierra el debate con una síntesis crítica.</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Talleres prácticos.</w:t>
      </w:r>
      <w:r>
        <w:rPr>
          <w:rFonts w:eastAsia="Arial" w:cs="Arial" w:ascii="Gill Sans" w:hAnsi="Gill Sans"/>
          <w:sz w:val="20"/>
          <w:szCs w:val="20"/>
        </w:rPr>
        <w:t xml:space="preserve"> Se realizarán ejercicios aplicados como la redacción de actos procesales (demandas y contestaciones), el análisis crítico de casaciones laborales y la reconstrucción del razonamiento probatorio de sentencias judiciales. Estos talleres se desarrollan en clase, de manera individual o en parejas.</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Simulaciones y juego de roles.</w:t>
      </w:r>
      <w:r>
        <w:rPr>
          <w:rFonts w:eastAsia="Arial" w:cs="Arial" w:ascii="Gill Sans" w:hAnsi="Gill Sans"/>
          <w:sz w:val="20"/>
          <w:szCs w:val="20"/>
        </w:rPr>
        <w:t xml:space="preserve"> Se diseñarán simulaciones de audiencias de conciliación y de presentación de teoría del caso, en las que los estudiantes asumirán roles de abogado de la parte trabajadora, abogado del empleador, conciliador o juez. Las simulaciones buscan desarrollar la capacidad de análisis crítico desde múltiples perspectivas y evaluar los límites de las estrategias procesales.</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Exposiciones grupales.</w:t>
      </w:r>
      <w:r>
        <w:rPr>
          <w:rFonts w:eastAsia="Arial" w:cs="Arial" w:ascii="Gill Sans" w:hAnsi="Gill Sans"/>
          <w:sz w:val="20"/>
          <w:szCs w:val="20"/>
        </w:rPr>
        <w:t xml:space="preserve"> Los estudiantes, organizados en grupos, prepararán y presentarán determinados temas del curso. La exposición incluye una presentación estructurada del tema, el análisis crítico de las lecturas asignadas y la atención de preguntas de sus compañeros. El docente complementa y precisa los contenidos tras la exposición.</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Lectura crítica.</w:t>
      </w:r>
      <w:r>
        <w:rPr>
          <w:rFonts w:eastAsia="Arial" w:cs="Arial" w:ascii="Gill Sans" w:hAnsi="Gill Sans"/>
          <w:sz w:val="20"/>
          <w:szCs w:val="20"/>
        </w:rPr>
        <w:t xml:space="preserve"> Cada sesión tiene asignada una o más lecturas obligatorias, indicadas en el cronograma. Se espera que el estudiante las lea antes de cada clase como condición para la participación informada y para los controles de lectura.</w:t>
      </w:r>
    </w:p>
    <w:p>
      <w:pPr>
        <w:pStyle w:val="Normal"/>
        <w:ind w:start="142"/>
        <w:rPr>
          <w:rFonts w:ascii="Gill Sans" w:hAnsi="Gill Sans" w:eastAsia="Gill Sans" w:cs="Gill Sans"/>
          <w:color w:val="993366"/>
          <w:sz w:val="20"/>
          <w:szCs w:val="20"/>
        </w:rPr>
      </w:pPr>
      <w:r>
        <w:rPr>
          <w:rFonts w:eastAsia="Gill Sans" w:cs="Gill Sans" w:ascii="Gill Sans" w:hAnsi="Gill Sans"/>
          <w:color w:val="993366"/>
          <w:sz w:val="20"/>
          <w:szCs w:val="20"/>
        </w:rPr>
      </w:r>
    </w:p>
    <w:p>
      <w:pPr>
        <w:pStyle w:val="Normal"/>
        <w:numPr>
          <w:ilvl w:val="0"/>
          <w:numId w:val="3"/>
        </w:numPr>
        <w:ind w:hanging="142" w:start="142"/>
        <w:rPr>
          <w:rFonts w:ascii="Gill Sans" w:hAnsi="Gill Sans" w:eastAsia="Gill Sans" w:cs="Gill Sans"/>
          <w:b/>
          <w:color w:val="002060"/>
          <w:sz w:val="22"/>
          <w:szCs w:val="22"/>
        </w:rPr>
      </w:pPr>
      <w:r>
        <w:rPr>
          <w:rFonts w:eastAsia="Gill Sans" w:cs="Gill Sans" w:ascii="Gill Sans" w:hAnsi="Gill Sans"/>
          <w:b/>
          <w:color w:val="002060"/>
          <w:sz w:val="22"/>
          <w:szCs w:val="22"/>
        </w:rPr>
        <w:t>EVALUACIÓN</w:t>
      </w:r>
    </w:p>
    <w:p>
      <w:pPr>
        <w:pStyle w:val="Heading2"/>
        <w:spacing w:before="300" w:after="200"/>
        <w:rPr>
          <w:rFonts w:ascii="Gill Sans" w:hAnsi="Gill Sans"/>
          <w:sz w:val="20"/>
          <w:szCs w:val="20"/>
        </w:rPr>
      </w:pPr>
      <w:r>
        <w:rPr>
          <w:rFonts w:eastAsia="Arial" w:cs="Arial" w:ascii="Gill Sans" w:hAnsi="Gill Sans"/>
          <w:b/>
          <w:bCs/>
          <w:sz w:val="20"/>
          <w:szCs w:val="20"/>
        </w:rPr>
        <w:t>a. Sistema de evaluación</w:t>
      </w:r>
    </w:p>
    <w:tbl>
      <w:tblPr>
        <w:tblW w:w="9026" w:type="dxa"/>
        <w:jc w:val="start"/>
        <w:tblInd w:w="0" w:type="dxa"/>
        <w:tblLayout w:type="fixed"/>
        <w:tblCellMar>
          <w:top w:w="60" w:type="dxa"/>
          <w:start w:w="100" w:type="dxa"/>
          <w:bottom w:w="60" w:type="dxa"/>
          <w:end w:w="100" w:type="dxa"/>
        </w:tblCellMar>
      </w:tblPr>
      <w:tblGrid>
        <w:gridCol w:w="600"/>
        <w:gridCol w:w="2199"/>
        <w:gridCol w:w="2627"/>
        <w:gridCol w:w="1800"/>
        <w:gridCol w:w="1800"/>
      </w:tblGrid>
      <w:tr>
        <w:trPr/>
        <w:tc>
          <w:tcPr>
            <w:tcW w:w="6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center"/>
              <w:rPr>
                <w:rFonts w:ascii="Gill Sans" w:hAnsi="Gill Sans"/>
                <w:sz w:val="20"/>
                <w:szCs w:val="20"/>
              </w:rPr>
            </w:pPr>
            <w:r>
              <w:rPr>
                <w:rFonts w:eastAsia="Arial" w:cs="Arial" w:ascii="Gill Sans" w:hAnsi="Gill Sans"/>
                <w:b/>
                <w:bCs/>
                <w:sz w:val="20"/>
                <w:szCs w:val="20"/>
              </w:rPr>
              <w:t>N.°</w:t>
            </w:r>
          </w:p>
        </w:tc>
        <w:tc>
          <w:tcPr>
            <w:tcW w:w="2199"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center"/>
              <w:rPr>
                <w:rFonts w:ascii="Gill Sans" w:hAnsi="Gill Sans"/>
                <w:sz w:val="20"/>
                <w:szCs w:val="20"/>
              </w:rPr>
            </w:pPr>
            <w:r>
              <w:rPr>
                <w:rFonts w:eastAsia="Arial" w:cs="Arial" w:ascii="Gill Sans" w:hAnsi="Gill Sans"/>
                <w:b/>
                <w:bCs/>
                <w:sz w:val="20"/>
                <w:szCs w:val="20"/>
              </w:rPr>
              <w:t>Componente</w:t>
            </w:r>
          </w:p>
        </w:tc>
        <w:tc>
          <w:tcPr>
            <w:tcW w:w="2627"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center"/>
              <w:rPr>
                <w:rFonts w:ascii="Gill Sans" w:hAnsi="Gill Sans"/>
                <w:sz w:val="20"/>
                <w:szCs w:val="20"/>
              </w:rPr>
            </w:pPr>
            <w:r>
              <w:rPr>
                <w:rFonts w:eastAsia="Arial" w:cs="Arial" w:ascii="Gill Sans" w:hAnsi="Gill Sans"/>
                <w:b/>
                <w:bCs/>
                <w:sz w:val="20"/>
                <w:szCs w:val="20"/>
              </w:rPr>
              <w:t>Detalle</w:t>
            </w:r>
          </w:p>
        </w:tc>
        <w:tc>
          <w:tcPr>
            <w:tcW w:w="18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center"/>
              <w:rPr>
                <w:rFonts w:ascii="Gill Sans" w:hAnsi="Gill Sans"/>
                <w:sz w:val="20"/>
                <w:szCs w:val="20"/>
              </w:rPr>
            </w:pPr>
            <w:r>
              <w:rPr>
                <w:rFonts w:eastAsia="Arial" w:cs="Arial" w:ascii="Gill Sans" w:hAnsi="Gill Sans"/>
                <w:b/>
                <w:bCs/>
                <w:sz w:val="20"/>
                <w:szCs w:val="20"/>
              </w:rPr>
              <w:t>Resultado(s) de aprendizaje</w:t>
            </w:r>
          </w:p>
        </w:tc>
        <w:tc>
          <w:tcPr>
            <w:tcW w:w="18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center"/>
              <w:rPr>
                <w:rFonts w:ascii="Gill Sans" w:hAnsi="Gill Sans"/>
                <w:sz w:val="20"/>
                <w:szCs w:val="20"/>
              </w:rPr>
            </w:pPr>
            <w:r>
              <w:rPr>
                <w:rFonts w:eastAsia="Arial" w:cs="Arial" w:ascii="Gill Sans" w:hAnsi="Gill Sans"/>
                <w:b/>
                <w:bCs/>
                <w:sz w:val="20"/>
                <w:szCs w:val="20"/>
              </w:rPr>
              <w:t>Peso</w:t>
            </w:r>
          </w:p>
        </w:tc>
      </w:tr>
      <w:tr>
        <w:trPr/>
        <w:tc>
          <w:tcPr>
            <w:tcW w:w="6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1.1</w:t>
            </w:r>
          </w:p>
        </w:tc>
        <w:tc>
          <w:tcPr>
            <w:tcW w:w="2199"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Asistencia</w:t>
            </w:r>
          </w:p>
        </w:tc>
        <w:tc>
          <w:tcPr>
            <w:tcW w:w="2627"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1</w:t>
            </w:r>
            <w:r>
              <w:rPr>
                <w:rFonts w:eastAsia="Arial" w:cs="Arial" w:ascii="Gill Sans" w:hAnsi="Gill Sans"/>
                <w:b w:val="false"/>
                <w:bCs w:val="false"/>
                <w:sz w:val="20"/>
                <w:szCs w:val="20"/>
              </w:rPr>
              <w:t>6</w:t>
            </w:r>
            <w:r>
              <w:rPr>
                <w:rFonts w:eastAsia="Arial" w:cs="Arial" w:ascii="Gill Sans" w:hAnsi="Gill Sans"/>
                <w:b w:val="false"/>
                <w:bCs w:val="false"/>
                <w:sz w:val="20"/>
                <w:szCs w:val="20"/>
              </w:rPr>
              <w:t xml:space="preserve"> sesiones</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RA1 a RA6</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10 %</w:t>
            </w:r>
          </w:p>
        </w:tc>
      </w:tr>
      <w:tr>
        <w:trPr/>
        <w:tc>
          <w:tcPr>
            <w:tcW w:w="6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1.2</w:t>
            </w:r>
          </w:p>
        </w:tc>
        <w:tc>
          <w:tcPr>
            <w:tcW w:w="2199"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Controles de lectura</w:t>
            </w:r>
          </w:p>
        </w:tc>
        <w:tc>
          <w:tcPr>
            <w:tcW w:w="2627"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6 controles</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RA1 a RA6</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20 %</w:t>
            </w:r>
          </w:p>
        </w:tc>
      </w:tr>
      <w:tr>
        <w:trPr/>
        <w:tc>
          <w:tcPr>
            <w:tcW w:w="6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1.3</w:t>
            </w:r>
          </w:p>
        </w:tc>
        <w:tc>
          <w:tcPr>
            <w:tcW w:w="2199"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Exposición grupal</w:t>
            </w:r>
          </w:p>
        </w:tc>
        <w:tc>
          <w:tcPr>
            <w:tcW w:w="2627"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1 exposición por grupo</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RA1 a RA6</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20 %</w:t>
            </w:r>
          </w:p>
        </w:tc>
      </w:tr>
      <w:tr>
        <w:trPr/>
        <w:tc>
          <w:tcPr>
            <w:tcW w:w="600" w:type="dxa"/>
            <w:tcBorders>
              <w:top w:val="single" w:sz="2" w:space="0" w:color="999999"/>
              <w:start w:val="single" w:sz="2" w:space="0" w:color="999999"/>
              <w:bottom w:val="single" w:sz="2" w:space="0" w:color="999999"/>
              <w:end w:val="single" w:sz="2" w:space="0" w:color="999999"/>
            </w:tcBorders>
            <w:shd w:fill="F2F2F2" w:val="clear"/>
          </w:tcPr>
          <w:p>
            <w:pPr>
              <w:pStyle w:val="Normal"/>
              <w:spacing w:before="0" w:after="40"/>
              <w:jc w:val="start"/>
              <w:rPr>
                <w:rFonts w:ascii="Gill Sans" w:hAnsi="Gill Sans"/>
                <w:sz w:val="20"/>
                <w:szCs w:val="20"/>
              </w:rPr>
            </w:pPr>
            <w:r>
              <w:rPr>
                <w:rFonts w:ascii="Gill Sans" w:hAnsi="Gill Sans"/>
                <w:sz w:val="20"/>
                <w:szCs w:val="20"/>
              </w:rPr>
            </w:r>
          </w:p>
        </w:tc>
        <w:tc>
          <w:tcPr>
            <w:tcW w:w="4826" w:type="dxa"/>
            <w:gridSpan w:val="2"/>
            <w:tcBorders>
              <w:top w:val="single" w:sz="2" w:space="0" w:color="999999"/>
              <w:start w:val="single" w:sz="2" w:space="0" w:color="999999"/>
              <w:bottom w:val="single" w:sz="2" w:space="0" w:color="999999"/>
              <w:end w:val="single" w:sz="2" w:space="0" w:color="999999"/>
            </w:tcBorders>
            <w:shd w:fill="F2F2F2" w:val="clear"/>
          </w:tcPr>
          <w:p>
            <w:pPr>
              <w:pStyle w:val="Normal"/>
              <w:spacing w:before="0" w:after="40"/>
              <w:rPr>
                <w:rFonts w:ascii="Gill Sans" w:hAnsi="Gill Sans"/>
                <w:sz w:val="20"/>
                <w:szCs w:val="20"/>
              </w:rPr>
            </w:pPr>
            <w:r>
              <w:rPr>
                <w:rFonts w:eastAsia="Arial" w:cs="Arial" w:ascii="Gill Sans" w:hAnsi="Gill Sans"/>
                <w:b/>
                <w:bCs/>
                <w:sz w:val="20"/>
                <w:szCs w:val="20"/>
              </w:rPr>
              <w:t>Subtotal: Asistencia y participación (AP)</w:t>
            </w:r>
          </w:p>
        </w:tc>
        <w:tc>
          <w:tcPr>
            <w:tcW w:w="1800" w:type="dxa"/>
            <w:tcBorders>
              <w:top w:val="single" w:sz="2" w:space="0" w:color="999999"/>
              <w:start w:val="single" w:sz="2" w:space="0" w:color="999999"/>
              <w:bottom w:val="single" w:sz="2" w:space="0" w:color="999999"/>
              <w:end w:val="single" w:sz="2" w:space="0" w:color="999999"/>
            </w:tcBorders>
            <w:shd w:fill="F2F2F2" w:val="clear"/>
          </w:tcPr>
          <w:p>
            <w:pPr>
              <w:pStyle w:val="Normal"/>
              <w:spacing w:before="0" w:after="40"/>
              <w:jc w:val="start"/>
              <w:rPr>
                <w:rFonts w:ascii="Gill Sans" w:hAnsi="Gill Sans"/>
                <w:sz w:val="20"/>
                <w:szCs w:val="20"/>
              </w:rPr>
            </w:pPr>
            <w:r>
              <w:rPr>
                <w:rFonts w:ascii="Gill Sans" w:hAnsi="Gill Sans"/>
                <w:sz w:val="20"/>
                <w:szCs w:val="20"/>
              </w:rPr>
            </w:r>
          </w:p>
        </w:tc>
        <w:tc>
          <w:tcPr>
            <w:tcW w:w="1800" w:type="dxa"/>
            <w:tcBorders>
              <w:top w:val="single" w:sz="2" w:space="0" w:color="999999"/>
              <w:start w:val="single" w:sz="2" w:space="0" w:color="999999"/>
              <w:bottom w:val="single" w:sz="2" w:space="0" w:color="999999"/>
              <w:end w:val="single" w:sz="2" w:space="0" w:color="999999"/>
            </w:tcBorders>
            <w:shd w:fill="F2F2F2" w:val="clear"/>
          </w:tcPr>
          <w:p>
            <w:pPr>
              <w:pStyle w:val="Normal"/>
              <w:spacing w:before="0" w:after="40"/>
              <w:jc w:val="center"/>
              <w:rPr>
                <w:rFonts w:ascii="Gill Sans" w:hAnsi="Gill Sans"/>
                <w:sz w:val="20"/>
                <w:szCs w:val="20"/>
              </w:rPr>
            </w:pPr>
            <w:r>
              <w:rPr>
                <w:rFonts w:eastAsia="Arial" w:cs="Arial" w:ascii="Gill Sans" w:hAnsi="Gill Sans"/>
                <w:b/>
                <w:bCs/>
                <w:sz w:val="20"/>
                <w:szCs w:val="20"/>
              </w:rPr>
              <w:t>50 %</w:t>
            </w:r>
          </w:p>
        </w:tc>
      </w:tr>
      <w:tr>
        <w:trPr/>
        <w:tc>
          <w:tcPr>
            <w:tcW w:w="6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2</w:t>
            </w:r>
          </w:p>
        </w:tc>
        <w:tc>
          <w:tcPr>
            <w:tcW w:w="2199"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Examen parcial</w:t>
            </w:r>
          </w:p>
        </w:tc>
        <w:tc>
          <w:tcPr>
            <w:tcW w:w="2627"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Semana 10</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RA1, RA2</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25 %</w:t>
            </w:r>
          </w:p>
        </w:tc>
      </w:tr>
      <w:tr>
        <w:trPr/>
        <w:tc>
          <w:tcPr>
            <w:tcW w:w="6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3</w:t>
            </w:r>
          </w:p>
        </w:tc>
        <w:tc>
          <w:tcPr>
            <w:tcW w:w="2199"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Examen final</w:t>
            </w:r>
          </w:p>
        </w:tc>
        <w:tc>
          <w:tcPr>
            <w:tcW w:w="2627"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Gill Sans" w:hAnsi="Gill Sans"/>
                <w:sz w:val="20"/>
                <w:szCs w:val="20"/>
              </w:rPr>
            </w:pPr>
            <w:r>
              <w:rPr>
                <w:rFonts w:eastAsia="Arial" w:cs="Arial" w:ascii="Gill Sans" w:hAnsi="Gill Sans"/>
                <w:b w:val="false"/>
                <w:bCs w:val="false"/>
                <w:sz w:val="20"/>
                <w:szCs w:val="20"/>
              </w:rPr>
              <w:t>Semana 1</w:t>
            </w:r>
            <w:r>
              <w:rPr>
                <w:rFonts w:eastAsia="Arial" w:cs="Arial" w:ascii="Gill Sans" w:hAnsi="Gill Sans"/>
                <w:b w:val="false"/>
                <w:bCs w:val="false"/>
                <w:sz w:val="20"/>
                <w:szCs w:val="20"/>
              </w:rPr>
              <w:t>6</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RA3, RA4, RA5, RA6</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Gill Sans" w:hAnsi="Gill Sans"/>
                <w:sz w:val="20"/>
                <w:szCs w:val="20"/>
              </w:rPr>
            </w:pPr>
            <w:r>
              <w:rPr>
                <w:rFonts w:eastAsia="Arial" w:cs="Arial" w:ascii="Gill Sans" w:hAnsi="Gill Sans"/>
                <w:b w:val="false"/>
                <w:bCs w:val="false"/>
                <w:sz w:val="20"/>
                <w:szCs w:val="20"/>
              </w:rPr>
              <w:t>25 %</w:t>
            </w:r>
          </w:p>
        </w:tc>
      </w:tr>
      <w:tr>
        <w:trPr/>
        <w:tc>
          <w:tcPr>
            <w:tcW w:w="6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start"/>
              <w:rPr>
                <w:rFonts w:ascii="Gill Sans" w:hAnsi="Gill Sans"/>
                <w:sz w:val="20"/>
                <w:szCs w:val="20"/>
              </w:rPr>
            </w:pPr>
            <w:r>
              <w:rPr>
                <w:rFonts w:ascii="Gill Sans" w:hAnsi="Gill Sans"/>
                <w:sz w:val="20"/>
                <w:szCs w:val="20"/>
              </w:rPr>
            </w:r>
          </w:p>
        </w:tc>
        <w:tc>
          <w:tcPr>
            <w:tcW w:w="4826" w:type="dxa"/>
            <w:gridSpan w:val="2"/>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rPr>
                <w:rFonts w:ascii="Gill Sans" w:hAnsi="Gill Sans"/>
                <w:sz w:val="20"/>
                <w:szCs w:val="20"/>
              </w:rPr>
            </w:pPr>
            <w:r>
              <w:rPr>
                <w:rFonts w:eastAsia="Arial" w:cs="Arial" w:ascii="Gill Sans" w:hAnsi="Gill Sans"/>
                <w:b/>
                <w:bCs/>
                <w:sz w:val="20"/>
                <w:szCs w:val="20"/>
              </w:rPr>
              <w:t>Total</w:t>
            </w:r>
          </w:p>
        </w:tc>
        <w:tc>
          <w:tcPr>
            <w:tcW w:w="18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start"/>
              <w:rPr>
                <w:rFonts w:ascii="Gill Sans" w:hAnsi="Gill Sans"/>
                <w:sz w:val="20"/>
                <w:szCs w:val="20"/>
              </w:rPr>
            </w:pPr>
            <w:r>
              <w:rPr>
                <w:rFonts w:ascii="Gill Sans" w:hAnsi="Gill Sans"/>
                <w:sz w:val="20"/>
                <w:szCs w:val="20"/>
              </w:rPr>
            </w:r>
          </w:p>
        </w:tc>
        <w:tc>
          <w:tcPr>
            <w:tcW w:w="18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center"/>
              <w:rPr>
                <w:rFonts w:ascii="Gill Sans" w:hAnsi="Gill Sans"/>
                <w:sz w:val="20"/>
                <w:szCs w:val="20"/>
              </w:rPr>
            </w:pPr>
            <w:r>
              <w:rPr>
                <w:rFonts w:eastAsia="Arial" w:cs="Arial" w:ascii="Gill Sans" w:hAnsi="Gill Sans"/>
                <w:b/>
                <w:bCs/>
                <w:sz w:val="20"/>
                <w:szCs w:val="20"/>
              </w:rPr>
              <w:t>100 %</w:t>
            </w:r>
          </w:p>
        </w:tc>
      </w:tr>
    </w:tbl>
    <w:p>
      <w:pPr>
        <w:pStyle w:val="Heading2"/>
        <w:spacing w:before="300" w:after="200"/>
        <w:rPr>
          <w:rFonts w:ascii="Gill Sans" w:hAnsi="Gill Sans"/>
          <w:sz w:val="20"/>
          <w:szCs w:val="20"/>
        </w:rPr>
      </w:pPr>
      <w:r>
        <w:rPr>
          <w:rFonts w:eastAsia="Arial" w:cs="Arial" w:ascii="Gill Sans" w:hAnsi="Gill Sans"/>
          <w:b/>
          <w:bCs/>
          <w:sz w:val="20"/>
          <w:szCs w:val="20"/>
        </w:rPr>
        <w:t>b. Fórmula de evaluación</w:t>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La nota final (NF) del curso se obtiene de la siguiente manera:</w:t>
      </w:r>
    </w:p>
    <w:p>
      <w:pPr>
        <w:pStyle w:val="Normal"/>
        <w:spacing w:before="120" w:after="120"/>
        <w:jc w:val="center"/>
        <w:rPr>
          <w:rFonts w:ascii="Gill Sans" w:hAnsi="Gill Sans"/>
          <w:sz w:val="20"/>
          <w:szCs w:val="20"/>
        </w:rPr>
      </w:pPr>
      <w:r>
        <w:rPr>
          <w:rFonts w:eastAsia="Arial" w:cs="Arial" w:ascii="Gill Sans" w:hAnsi="Gill Sans"/>
          <w:b/>
          <w:bCs/>
          <w:sz w:val="20"/>
          <w:szCs w:val="20"/>
        </w:rPr>
        <w:t>NF = 0.50 AP + 0.25 EP + 0.25 EF</w:t>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Donde:</w:t>
      </w:r>
    </w:p>
    <w:p>
      <w:pPr>
        <w:pStyle w:val="Normal"/>
        <w:spacing w:lineRule="auto" w:line="276" w:before="0" w:after="120"/>
        <w:ind w:start="360"/>
        <w:jc w:val="both"/>
        <w:rPr>
          <w:rFonts w:ascii="Gill Sans" w:hAnsi="Gill Sans"/>
          <w:sz w:val="20"/>
          <w:szCs w:val="20"/>
        </w:rPr>
      </w:pPr>
      <w:r>
        <w:rPr>
          <w:rFonts w:eastAsia="Arial" w:cs="Arial" w:ascii="Gill Sans" w:hAnsi="Gill Sans"/>
          <w:b/>
          <w:bCs/>
          <w:sz w:val="20"/>
          <w:szCs w:val="20"/>
        </w:rPr>
        <w:t xml:space="preserve">AP: </w:t>
      </w:r>
      <w:r>
        <w:rPr>
          <w:rFonts w:eastAsia="Arial" w:cs="Arial" w:ascii="Gill Sans" w:hAnsi="Gill Sans"/>
          <w:sz w:val="20"/>
          <w:szCs w:val="20"/>
        </w:rPr>
        <w:t>Asistencia y participación (integra los componentes 1.1, 1.2 y 1.3)</w:t>
      </w:r>
    </w:p>
    <w:p>
      <w:pPr>
        <w:pStyle w:val="Normal"/>
        <w:spacing w:lineRule="auto" w:line="276" w:before="0" w:after="120"/>
        <w:ind w:start="360"/>
        <w:jc w:val="both"/>
        <w:rPr>
          <w:rFonts w:ascii="Gill Sans" w:hAnsi="Gill Sans"/>
          <w:sz w:val="20"/>
          <w:szCs w:val="20"/>
        </w:rPr>
      </w:pPr>
      <w:r>
        <w:rPr>
          <w:rFonts w:eastAsia="Arial" w:cs="Arial" w:ascii="Gill Sans" w:hAnsi="Gill Sans"/>
          <w:b/>
          <w:bCs/>
          <w:sz w:val="20"/>
          <w:szCs w:val="20"/>
        </w:rPr>
        <w:t xml:space="preserve">EP: </w:t>
      </w:r>
      <w:r>
        <w:rPr>
          <w:rFonts w:eastAsia="Arial" w:cs="Arial" w:ascii="Gill Sans" w:hAnsi="Gill Sans"/>
          <w:sz w:val="20"/>
          <w:szCs w:val="20"/>
        </w:rPr>
        <w:t>Examen parcial</w:t>
      </w:r>
    </w:p>
    <w:p>
      <w:pPr>
        <w:pStyle w:val="Normal"/>
        <w:spacing w:lineRule="auto" w:line="276" w:before="0" w:after="120"/>
        <w:ind w:start="360"/>
        <w:jc w:val="both"/>
        <w:rPr>
          <w:rFonts w:ascii="Gill Sans" w:hAnsi="Gill Sans"/>
          <w:sz w:val="20"/>
          <w:szCs w:val="20"/>
        </w:rPr>
      </w:pPr>
      <w:r>
        <w:rPr>
          <w:rFonts w:eastAsia="Arial" w:cs="Arial" w:ascii="Gill Sans" w:hAnsi="Gill Sans"/>
          <w:b/>
          <w:bCs/>
          <w:sz w:val="20"/>
          <w:szCs w:val="20"/>
        </w:rPr>
        <w:t xml:space="preserve">EF: </w:t>
      </w:r>
      <w:r>
        <w:rPr>
          <w:rFonts w:eastAsia="Arial" w:cs="Arial" w:ascii="Gill Sans" w:hAnsi="Gill Sans"/>
          <w:sz w:val="20"/>
          <w:szCs w:val="20"/>
        </w:rPr>
        <w:t>Examen final</w:t>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La nota de Asistencia y participación (AP) se calcula como un promedio ponderado de sus tres componentes:</w:t>
      </w:r>
    </w:p>
    <w:p>
      <w:pPr>
        <w:pStyle w:val="Normal"/>
        <w:spacing w:before="120" w:after="120"/>
        <w:jc w:val="center"/>
        <w:rPr>
          <w:rFonts w:ascii="Gill Sans" w:hAnsi="Gill Sans"/>
          <w:sz w:val="20"/>
          <w:szCs w:val="20"/>
        </w:rPr>
      </w:pPr>
      <w:r>
        <w:rPr>
          <w:rFonts w:eastAsia="Arial" w:cs="Arial" w:ascii="Gill Sans" w:hAnsi="Gill Sans"/>
          <w:b/>
          <w:bCs/>
          <w:sz w:val="20"/>
          <w:szCs w:val="20"/>
        </w:rPr>
        <w:t>AP = (Asistencia × 0.20) + (Controles × 0.40) + (Exposición × 0.40)</w:t>
      </w:r>
    </w:p>
    <w:p>
      <w:pPr>
        <w:pStyle w:val="Heading2"/>
        <w:spacing w:before="300" w:after="200"/>
        <w:rPr>
          <w:rFonts w:ascii="Gill Sans" w:hAnsi="Gill Sans"/>
          <w:sz w:val="20"/>
          <w:szCs w:val="20"/>
        </w:rPr>
      </w:pPr>
      <w:r>
        <w:rPr>
          <w:rFonts w:eastAsia="Arial" w:cs="Arial" w:ascii="Gill Sans" w:hAnsi="Gill Sans"/>
          <w:b/>
          <w:bCs/>
          <w:sz w:val="20"/>
          <w:szCs w:val="20"/>
        </w:rPr>
        <w:t>c. Consideraciones</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Asistencia (10 % de la nota final)</w:t>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Se registra la asistencia en cada una de las 1</w:t>
      </w:r>
      <w:r>
        <w:rPr>
          <w:rFonts w:eastAsia="Arial" w:cs="Arial" w:ascii="Gill Sans" w:hAnsi="Gill Sans"/>
          <w:sz w:val="20"/>
          <w:szCs w:val="20"/>
        </w:rPr>
        <w:t>6</w:t>
      </w:r>
      <w:r>
        <w:rPr>
          <w:rFonts w:eastAsia="Arial" w:cs="Arial" w:ascii="Gill Sans" w:hAnsi="Gill Sans"/>
          <w:sz w:val="20"/>
          <w:szCs w:val="20"/>
        </w:rPr>
        <w:t xml:space="preserve"> sesiones del curso. Cada sesión asistida equivale a 1 punto, para un máximo acumulado de 1</w:t>
      </w:r>
      <w:r>
        <w:rPr>
          <w:rFonts w:eastAsia="Arial" w:cs="Arial" w:ascii="Gill Sans" w:hAnsi="Gill Sans"/>
          <w:sz w:val="20"/>
          <w:szCs w:val="20"/>
        </w:rPr>
        <w:t>6</w:t>
      </w:r>
      <w:r>
        <w:rPr>
          <w:rFonts w:eastAsia="Arial" w:cs="Arial" w:ascii="Gill Sans" w:hAnsi="Gill Sans"/>
          <w:sz w:val="20"/>
          <w:szCs w:val="20"/>
        </w:rPr>
        <w:t xml:space="preserve"> puntos. La nota de asistencia en escala vigesimal se obtiene mediante regla de tres simple: la nota es igual al puntaje acumulado multiplicado por 20 y dividido entre 1</w:t>
      </w:r>
      <w:r>
        <w:rPr>
          <w:rFonts w:eastAsia="Arial" w:cs="Arial" w:ascii="Gill Sans" w:hAnsi="Gill Sans"/>
          <w:sz w:val="20"/>
          <w:szCs w:val="20"/>
        </w:rPr>
        <w:t>6</w:t>
      </w:r>
      <w:r>
        <w:rPr>
          <w:rFonts w:eastAsia="Arial" w:cs="Arial" w:ascii="Gill Sans" w:hAnsi="Gill Sans"/>
          <w:sz w:val="20"/>
          <w:szCs w:val="20"/>
        </w:rPr>
        <w:t>. La inasistencia a una sesión supone 0 puntos en esa sesión.</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Controles de lectura (20 % de la nota final)</w:t>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Se aplican 6 controles de lectura durante el semestre: 3 antes del examen parcial y 3 después. Cada control tiene un puntaje máximo de 5 puntos, lo que genera un máximo acumulado de 30 puntos. La nota de controles en escala vigesimal se obtiene mediante regla de tres simple: la nota es igual al puntaje acumulado multiplicado por 20 y dividido entre 30. Los controles consisten en preguntas-problema que evalúan la comprensión crítica de las lecturas obligatorias asignadas. Se realizan al inicio de la sesión correspondiente. El estudiante que no asista a una sesión con control obtiene 0 en ese control.</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Exposición grupal (20 % de la nota final)</w:t>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Los estudiantes se organizarán en grupos para preparar y presentar uno de los temas asignados para exposición. La evaluación considera: dominio del tema y de las lecturas asignadas, claridad y estructura de la presentación, capacidad de responder preguntas, y análisis crítico. La nota es grupal, en escala vigesimal (0 a 20). La asignación de temas y grupos se realizará durante las primeras sesiones del curso.</w:t>
      </w:r>
    </w:p>
    <w:p>
      <w:pPr>
        <w:pStyle w:val="Normal"/>
        <w:spacing w:lineRule="auto" w:line="276" w:before="0" w:after="120"/>
        <w:jc w:val="both"/>
        <w:rPr>
          <w:rFonts w:ascii="Gill Sans" w:hAnsi="Gill Sans"/>
          <w:sz w:val="20"/>
          <w:szCs w:val="20"/>
        </w:rPr>
      </w:pPr>
      <w:r>
        <w:rPr>
          <w:rFonts w:eastAsia="Arial" w:cs="Arial" w:ascii="Gill Sans" w:hAnsi="Gill Sans"/>
          <w:b/>
          <w:bCs/>
          <w:sz w:val="20"/>
          <w:szCs w:val="20"/>
        </w:rPr>
        <w:t>Exámenes (25 % cada uno)</w:t>
      </w:r>
    </w:p>
    <w:p>
      <w:pPr>
        <w:pStyle w:val="Normal"/>
        <w:spacing w:lineRule="auto" w:line="276" w:before="0" w:after="120"/>
        <w:jc w:val="both"/>
        <w:rPr>
          <w:rFonts w:ascii="Gill Sans" w:hAnsi="Gill Sans"/>
          <w:sz w:val="20"/>
          <w:szCs w:val="20"/>
        </w:rPr>
      </w:pPr>
      <w:r>
        <w:rPr>
          <w:rFonts w:eastAsia="Arial" w:cs="Arial" w:ascii="Gill Sans" w:hAnsi="Gill Sans"/>
          <w:sz w:val="20"/>
          <w:szCs w:val="20"/>
        </w:rPr>
        <w:t>Los exámenes parcial y final evalúan los resultados de aprendizaje correspondientes a las unidades temáticas que comprenden. Cada examen tiene una nota de 0 a 20. Los exámenes podrán ser escritos u orales, total o parcialmente, lo cual será informado con antelación a la fecha de cada examen. El examen parcial comprende las lecturas y contenidos de las semanas 1 a 9. El examen final comprende las lecturas y contenidos de las semanas 11 a 1</w:t>
      </w:r>
      <w:r>
        <w:rPr>
          <w:rFonts w:eastAsia="Arial" w:cs="Arial" w:ascii="Gill Sans" w:hAnsi="Gill Sans"/>
          <w:sz w:val="20"/>
          <w:szCs w:val="20"/>
        </w:rPr>
        <w:t>5</w:t>
      </w:r>
      <w:r>
        <w:rPr>
          <w:rFonts w:eastAsia="Arial" w:cs="Arial" w:ascii="Gill Sans" w:hAnsi="Gill Sans"/>
          <w:sz w:val="20"/>
          <w:szCs w:val="20"/>
        </w:rPr>
        <w:t>.</w:t>
      </w:r>
    </w:p>
    <w:p>
      <w:pPr>
        <w:pStyle w:val="Normal"/>
        <w:ind w:hanging="142" w:start="142"/>
        <w:rPr>
          <w:rFonts w:ascii="Gill Sans" w:hAnsi="Gill Sans" w:eastAsia="Gill Sans" w:cs="Gill Sans"/>
          <w:b/>
          <w:color w:val="002060"/>
          <w:sz w:val="20"/>
          <w:szCs w:val="20"/>
        </w:rPr>
      </w:pPr>
      <w:r>
        <w:rPr>
          <w:rFonts w:eastAsia="Gill Sans" w:cs="Gill Sans" w:ascii="Gill Sans" w:hAnsi="Gill Sans"/>
          <w:b/>
          <w:color w:val="002060"/>
          <w:sz w:val="20"/>
          <w:szCs w:val="20"/>
        </w:rPr>
      </w:r>
    </w:p>
    <w:p>
      <w:pPr>
        <w:pStyle w:val="Normal"/>
        <w:numPr>
          <w:ilvl w:val="0"/>
          <w:numId w:val="3"/>
        </w:numPr>
        <w:ind w:hanging="142" w:start="142"/>
        <w:rPr>
          <w:rFonts w:ascii="Gill Sans" w:hAnsi="Gill Sans" w:eastAsia="Gill Sans" w:cs="Gill Sans"/>
          <w:b/>
          <w:color w:val="002060"/>
          <w:sz w:val="22"/>
          <w:szCs w:val="22"/>
        </w:rPr>
      </w:pPr>
      <w:r>
        <w:rPr>
          <w:rFonts w:eastAsia="Gill Sans" w:cs="Gill Sans" w:ascii="Gill Sans" w:hAnsi="Gill Sans"/>
          <w:b/>
          <w:color w:val="002060"/>
          <w:sz w:val="22"/>
          <w:szCs w:val="22"/>
        </w:rPr>
        <w:t>R</w:t>
      </w:r>
      <w:r>
        <w:rPr>
          <w:rFonts w:eastAsia="Gill Sans" w:cs="Gill Sans" w:ascii="Gill Sans" w:hAnsi="Gill Sans"/>
          <w:b/>
          <w:color w:val="002060"/>
          <w:sz w:val="22"/>
          <w:szCs w:val="22"/>
        </w:rPr>
        <w:t>EFERENCIAS</w:t>
      </w:r>
    </w:p>
    <w:p>
      <w:pPr>
        <w:pStyle w:val="Normal"/>
        <w:rPr>
          <w:rFonts w:ascii="Gill Sans" w:hAnsi="Gill Sans" w:eastAsia="Gill Sans" w:cs="Gill Sans"/>
          <w:b/>
          <w:sz w:val="22"/>
          <w:szCs w:val="22"/>
        </w:rPr>
      </w:pPr>
      <w:r>
        <w:rPr>
          <w:rFonts w:eastAsia="Gill Sans" w:cs="Gill Sans" w:ascii="Gill Sans" w:hAnsi="Gill Sans"/>
          <w:b/>
          <w:sz w:val="22"/>
          <w:szCs w:val="22"/>
        </w:rPr>
      </w:r>
    </w:p>
    <w:p>
      <w:pPr>
        <w:pStyle w:val="Normal"/>
        <w:spacing w:before="0" w:after="200"/>
        <w:ind w:start="720"/>
        <w:jc w:val="both"/>
        <w:rPr/>
      </w:pPr>
      <w:r>
        <w:rPr>
          <w:rFonts w:eastAsia="Gill Sans" w:cs="Gill Sans" w:ascii="Gill Sans" w:hAnsi="Gill Sans"/>
          <w:sz w:val="20"/>
          <w:szCs w:val="20"/>
        </w:rPr>
        <w:t>Aguiló Regla, J. (2006). Presunciones, verdad y normas procesales. Isegoría: Revista de filosofía moral y política, 35.</w:t>
      </w:r>
    </w:p>
    <w:p>
      <w:pPr>
        <w:pStyle w:val="Normal"/>
        <w:spacing w:before="0" w:after="200"/>
        <w:ind w:start="720"/>
        <w:jc w:val="both"/>
        <w:rPr/>
      </w:pPr>
      <w:r>
        <w:rPr>
          <w:rFonts w:eastAsia="Gill Sans" w:cs="Gill Sans" w:ascii="Gill Sans" w:hAnsi="Gill Sans"/>
          <w:sz w:val="20"/>
          <w:szCs w:val="20"/>
        </w:rPr>
        <w:t>Aguiló Regla, J. (2015). El arte de la mediación: Argumentación, negociación y mediación. Editorial Trotta.</w:t>
      </w:r>
    </w:p>
    <w:p>
      <w:pPr>
        <w:pStyle w:val="Normal"/>
        <w:spacing w:before="0" w:after="200"/>
        <w:ind w:start="720"/>
        <w:jc w:val="both"/>
        <w:rPr/>
      </w:pPr>
      <w:r>
        <w:rPr>
          <w:rFonts w:eastAsia="Gill Sans" w:cs="Gill Sans" w:ascii="Gill Sans" w:hAnsi="Gill Sans"/>
          <w:sz w:val="20"/>
          <w:szCs w:val="20"/>
        </w:rPr>
        <w:t>Beltrán Rico, Leonardo. (2007, 2009). El arbitramento dentro del contexto de las relaciones de índole laboral. Revista Iberoamericana de Arbitraje y Mediación. http://www.servilex.com.pe/arbitraje/file.php?idarticulo=44</w:t>
      </w:r>
    </w:p>
    <w:p>
      <w:pPr>
        <w:pStyle w:val="Normal"/>
        <w:spacing w:before="0" w:after="200"/>
        <w:ind w:start="720"/>
        <w:jc w:val="both"/>
        <w:rPr/>
      </w:pPr>
      <w:r>
        <w:rPr>
          <w:rFonts w:eastAsia="Gill Sans" w:cs="Gill Sans" w:ascii="Gill Sans" w:hAnsi="Gill Sans"/>
          <w:sz w:val="20"/>
          <w:szCs w:val="20"/>
        </w:rPr>
        <w:t>Ferrer Beltrán, J. (2014). La prueba de la causalidad en la responsabilidad civil. En D. Papayannis (Ed.), Causalidad y atribución de responsabilidad. Marcial Pons.</w:t>
      </w:r>
    </w:p>
    <w:p>
      <w:pPr>
        <w:pStyle w:val="Normal"/>
        <w:spacing w:before="0" w:after="200"/>
        <w:ind w:start="720"/>
        <w:jc w:val="both"/>
        <w:rPr/>
      </w:pPr>
      <w:r>
        <w:rPr>
          <w:rFonts w:eastAsia="Gill Sans" w:cs="Gill Sans" w:ascii="Gill Sans" w:hAnsi="Gill Sans"/>
          <w:sz w:val="20"/>
          <w:szCs w:val="20"/>
        </w:rPr>
        <w:t>Gascón Abellán, M. (2017). Valoración de la prueba y causalidad jurídica. Ciencia forense: Revista aragonesa de medicina legal, 14, 77-96.</w:t>
      </w:r>
    </w:p>
    <w:p>
      <w:pPr>
        <w:pStyle w:val="Normal"/>
        <w:spacing w:before="0" w:after="200"/>
        <w:ind w:start="720"/>
        <w:jc w:val="both"/>
        <w:rPr/>
      </w:pPr>
      <w:r>
        <w:rPr>
          <w:rFonts w:eastAsia="Gill Sans" w:cs="Gill Sans" w:ascii="Gill Sans" w:hAnsi="Gill Sans"/>
          <w:sz w:val="20"/>
          <w:szCs w:val="20"/>
        </w:rPr>
        <w:t>Goldman, A. I. (1999). Knowledge in a social world. Clarendon Press ; Oxford University Press.</w:t>
      </w:r>
    </w:p>
    <w:p>
      <w:pPr>
        <w:pStyle w:val="Normal"/>
        <w:spacing w:before="0" w:after="200"/>
        <w:ind w:start="720"/>
        <w:jc w:val="both"/>
        <w:rPr/>
      </w:pPr>
      <w:r>
        <w:rPr>
          <w:rFonts w:eastAsia="Gill Sans" w:cs="Gill Sans" w:ascii="Gill Sans" w:hAnsi="Gill Sans"/>
          <w:sz w:val="20"/>
          <w:szCs w:val="20"/>
        </w:rPr>
        <w:t>González Lagier, D. (2005). Quaestio facti: Ensayos sobre prueba, casualidad y acción. Palestra; Temis.</w:t>
      </w:r>
    </w:p>
    <w:p>
      <w:pPr>
        <w:pStyle w:val="Normal"/>
        <w:spacing w:before="0" w:after="200"/>
        <w:ind w:start="720"/>
        <w:jc w:val="both"/>
        <w:rPr/>
      </w:pPr>
      <w:r>
        <w:rPr>
          <w:rFonts w:eastAsia="Gill Sans" w:cs="Gill Sans" w:ascii="Gill Sans" w:hAnsi="Gill Sans"/>
          <w:sz w:val="20"/>
          <w:szCs w:val="20"/>
        </w:rPr>
        <w:t>Marinoni, Luiz Guilherme (2012): El precedente en la dimensión de la seguridad jurídica. Revista Ius et Praxis, 18, Nr. 1, 249–266.</w:t>
      </w:r>
    </w:p>
    <w:p>
      <w:pPr>
        <w:pStyle w:val="Normal"/>
        <w:spacing w:before="0" w:after="200"/>
        <w:ind w:start="720"/>
        <w:jc w:val="both"/>
        <w:rPr/>
      </w:pPr>
      <w:r>
        <w:rPr>
          <w:rFonts w:eastAsia="Gill Sans" w:cs="Gill Sans" w:ascii="Gill Sans" w:hAnsi="Gill Sans"/>
          <w:sz w:val="20"/>
          <w:szCs w:val="20"/>
        </w:rPr>
        <w:t>Nieva Fenoll, Jordi (2015): ¿Un juez supremo o un legislador supremo? En Priori Posada, Giovanni, director: Proceso y constitución. El rol de las altas cortes y el derecho a la impugnación. Ponencias del Quinto Seminario Internacional de Derecho Procesal. Lima: Palestra Editores, 173–190.</w:t>
      </w:r>
    </w:p>
    <w:p>
      <w:pPr>
        <w:pStyle w:val="Normal"/>
        <w:spacing w:before="0" w:after="200"/>
        <w:ind w:start="720"/>
        <w:jc w:val="both"/>
        <w:rPr/>
      </w:pPr>
      <w:r>
        <w:rPr>
          <w:rFonts w:eastAsia="Gill Sans" w:cs="Gill Sans" w:ascii="Gill Sans" w:hAnsi="Gill Sans"/>
          <w:sz w:val="20"/>
          <w:szCs w:val="20"/>
        </w:rPr>
        <w:t>Nieva Fenoll, Jordi (2020): El origen inglés de la casación francesa. Revista Ítalo-Española de Derecho Procesal, 1, 83–99.</w:t>
      </w:r>
    </w:p>
    <w:p>
      <w:pPr>
        <w:pStyle w:val="Normal"/>
        <w:spacing w:before="0" w:after="200"/>
        <w:ind w:start="720"/>
        <w:jc w:val="both"/>
        <w:rPr/>
      </w:pPr>
      <w:r>
        <w:rPr>
          <w:rFonts w:eastAsia="Gill Sans" w:cs="Gill Sans" w:ascii="Gill Sans" w:hAnsi="Gill Sans"/>
          <w:sz w:val="20"/>
          <w:szCs w:val="20"/>
        </w:rPr>
        <w:t>Paredes Palacios, P. (2010). La Nueva Ley Procesal del Trabajo y la acción de amparo en materia laboral. En Doctrina y análisis sobre la Nueva Ley Procesal del Trabajo (pp. 117-170). Academia de la Magistratura del Perú.</w:t>
      </w:r>
    </w:p>
    <w:p>
      <w:pPr>
        <w:pStyle w:val="Normal"/>
        <w:spacing w:before="0" w:after="200"/>
        <w:ind w:start="720"/>
        <w:jc w:val="both"/>
        <w:rPr/>
      </w:pPr>
      <w:r>
        <w:rPr>
          <w:rFonts w:eastAsia="Gill Sans" w:cs="Gill Sans" w:ascii="Gill Sans" w:hAnsi="Gill Sans"/>
          <w:sz w:val="20"/>
          <w:szCs w:val="20"/>
        </w:rPr>
        <w:t>Paredes Palacios, P. (2011a). El Tribunal de Servicio Civil enfrentado a la necesidad de regulación de la vía previa, los precedentes del Tribunal Constitucional y la Nueva Ley Procesal del Trabajo. Ius et veritas, 42, 250-260.</w:t>
      </w:r>
    </w:p>
    <w:p>
      <w:pPr>
        <w:pStyle w:val="Normal"/>
        <w:spacing w:before="0" w:after="200"/>
        <w:ind w:start="720"/>
        <w:jc w:val="start"/>
        <w:rPr/>
      </w:pPr>
      <w:r>
        <w:rPr>
          <w:rFonts w:eastAsia="Gill Sans" w:cs="Gill Sans" w:ascii="Gill Sans" w:hAnsi="Gill Sans"/>
          <w:sz w:val="20"/>
          <w:szCs w:val="20"/>
        </w:rPr>
        <w:t>Paredes Palacios, P. (2011</w:t>
      </w:r>
      <w:r>
        <w:rPr>
          <w:rFonts w:eastAsia="Gill Sans" w:cs="Gill Sans" w:ascii="Gill Sans" w:hAnsi="Gill Sans"/>
          <w:sz w:val="20"/>
          <w:szCs w:val="20"/>
          <w:highlight w:val="yellow"/>
        </w:rPr>
        <w:t>b</w:t>
      </w:r>
      <w:r>
        <w:rPr>
          <w:rFonts w:eastAsia="Gill Sans" w:cs="Gill Sans" w:ascii="Gill Sans" w:hAnsi="Gill Sans"/>
          <w:sz w:val="20"/>
          <w:szCs w:val="20"/>
        </w:rPr>
        <w:t>). Formación y fundamentos de la Nueva Ley Procesal del Trabajo. https://www.academia.edu/25637874/Formaci%C3%B3n_y_fundamentos_de_la_Nueva_Ley_Procesal_del_Trabajo_Per%C3%BA_</w:t>
      </w:r>
    </w:p>
    <w:p>
      <w:pPr>
        <w:pStyle w:val="Normal"/>
        <w:spacing w:before="0" w:after="200"/>
        <w:ind w:start="720"/>
        <w:jc w:val="both"/>
        <w:rPr/>
      </w:pPr>
      <w:r>
        <w:rPr>
          <w:rFonts w:eastAsia="Gill Sans" w:cs="Gill Sans" w:ascii="Gill Sans" w:hAnsi="Gill Sans"/>
          <w:sz w:val="20"/>
          <w:szCs w:val="20"/>
        </w:rPr>
        <w:t>Paredes Palacios, P. (2012, octubre 26). La oralidad como herramienta para el acceso a la justicia en el nuevo proceso laboral peruano. Quinto Congreso Nacional de la Sociedad Peruana de Derecho del Trabajo y la Seguridad Social.</w:t>
      </w:r>
    </w:p>
    <w:p>
      <w:pPr>
        <w:pStyle w:val="Normal"/>
        <w:spacing w:before="0" w:after="200"/>
        <w:ind w:start="720"/>
        <w:jc w:val="both"/>
        <w:rPr/>
      </w:pPr>
      <w:r>
        <w:rPr>
          <w:rFonts w:eastAsia="Gill Sans" w:cs="Gill Sans" w:ascii="Gill Sans" w:hAnsi="Gill Sans"/>
          <w:sz w:val="20"/>
          <w:szCs w:val="20"/>
        </w:rPr>
        <w:t>Paredes Palacios, P. (2017). ¿Es eficaz el proceso colectivo laboral peruano? En Priori Posada, Giovanni F. (Ed.), Proceso y Constitución: Derecho material y proceso: El modo cómo el proceso se adecúa a la tutela del derecho material: Ponencias del Séptimo Seminario Internacional de Derecho Procesal: Proceso y Constitución. Palestra.</w:t>
      </w:r>
    </w:p>
    <w:p>
      <w:pPr>
        <w:pStyle w:val="Normal"/>
        <w:spacing w:before="0" w:after="200"/>
        <w:ind w:start="720"/>
        <w:jc w:val="both"/>
        <w:rPr/>
      </w:pPr>
      <w:r>
        <w:rPr>
          <w:rFonts w:eastAsia="Gill Sans" w:cs="Gill Sans" w:ascii="Gill Sans" w:hAnsi="Gill Sans"/>
          <w:sz w:val="20"/>
          <w:szCs w:val="20"/>
        </w:rPr>
        <w:t>Paredes Palacios, P. (2020). El principio de facilitación probatoria en el proceso laboral. En J. Ferrer Beltrán &amp; C. Vázquez (Eds.), Del derecho al razonamiento probatorio (pp. 77-104). Marcial Pons.</w:t>
      </w:r>
    </w:p>
    <w:p>
      <w:pPr>
        <w:pStyle w:val="Normal"/>
        <w:spacing w:before="0" w:after="200"/>
        <w:ind w:start="720"/>
        <w:jc w:val="both"/>
        <w:rPr/>
      </w:pPr>
      <w:r>
        <w:rPr>
          <w:rFonts w:eastAsia="Gill Sans" w:cs="Gill Sans" w:ascii="Gill Sans" w:hAnsi="Gill Sans"/>
          <w:sz w:val="20"/>
          <w:szCs w:val="20"/>
        </w:rPr>
        <w:t>Paredes Palacios, P. (2021). El uso de la prueba científica por parte de la Suprema Corte de Justicia de la Nación en materia laboral. En C. Vázquez Rojas (Ed.), Ciencia y Justicia. El conocimiento experto en la Suprema Corte de Justicia de la Nación (pp. 187-240). Centro de Estudios Constitucionales de la Suprema Corte de Justicia de la Nación.</w:t>
      </w:r>
    </w:p>
    <w:p>
      <w:pPr>
        <w:pStyle w:val="Normal"/>
        <w:spacing w:before="0" w:after="200"/>
        <w:ind w:start="720"/>
        <w:jc w:val="both"/>
        <w:rPr/>
      </w:pPr>
      <w:r>
        <w:rPr>
          <w:rFonts w:eastAsia="Gill Sans" w:cs="Gill Sans" w:ascii="Gill Sans" w:hAnsi="Gill Sans"/>
          <w:sz w:val="20"/>
          <w:szCs w:val="20"/>
        </w:rPr>
        <w:t>Taruffo, M. (2018). La verdad y prueba dentro del proceso. En Teoría de la prueba. Tribunal Constitucional Plurinacional de Bolivia.</w:t>
      </w:r>
    </w:p>
    <w:p>
      <w:pPr>
        <w:pStyle w:val="Normal"/>
        <w:spacing w:before="0" w:after="200"/>
        <w:ind w:start="720"/>
        <w:jc w:val="both"/>
        <w:rPr/>
      </w:pPr>
      <w:r>
        <w:rPr>
          <w:rFonts w:eastAsia="Gill Sans" w:cs="Gill Sans" w:ascii="Gill Sans" w:hAnsi="Gill Sans"/>
          <w:sz w:val="20"/>
          <w:szCs w:val="20"/>
        </w:rPr>
        <w:t>Taruffo, M. (2008). Las funciones de las Cortes Supremas. En La prueba, artículos y conferencias. Metropolitana.</w:t>
      </w:r>
    </w:p>
    <w:p>
      <w:pPr>
        <w:pStyle w:val="Normal"/>
        <w:spacing w:before="0" w:after="200"/>
        <w:ind w:start="720"/>
        <w:jc w:val="both"/>
        <w:rPr/>
      </w:pPr>
      <w:r>
        <w:rPr>
          <w:rFonts w:eastAsia="Gill Sans" w:cs="Gill Sans" w:ascii="Gill Sans" w:hAnsi="Gill Sans"/>
          <w:sz w:val="20"/>
          <w:szCs w:val="20"/>
        </w:rPr>
        <w:t>Taruffo, M. (2012): El precedente judicial en los sistemas de Civil Law. Revista IUS ET VERITAS,, Nr. 45, 88–95.</w:t>
      </w:r>
    </w:p>
    <w:p>
      <w:pPr>
        <w:pStyle w:val="Normal"/>
        <w:spacing w:before="0" w:after="200"/>
        <w:ind w:start="720"/>
        <w:jc w:val="both"/>
        <w:rPr/>
      </w:pPr>
      <w:r>
        <w:rPr>
          <w:rFonts w:eastAsia="Gill Sans" w:cs="Gill Sans" w:ascii="Gill Sans" w:hAnsi="Gill Sans"/>
          <w:sz w:val="20"/>
          <w:szCs w:val="20"/>
        </w:rPr>
        <w:t xml:space="preserve">Taruffo, M. (2016): Consideraciones sobre el precedente. Revista IUS ET VERITAS,, Nr. 53, 330–342 </w:t>
      </w:r>
    </w:p>
    <w:p>
      <w:pPr>
        <w:pStyle w:val="Normal"/>
        <w:spacing w:before="0" w:after="0"/>
        <w:ind w:start="720"/>
        <w:jc w:val="both"/>
        <w:rPr>
          <w:rFonts w:ascii="Gill Sans" w:hAnsi="Gill Sans" w:eastAsia="Gill Sans" w:cs="Gill Sans"/>
          <w:sz w:val="20"/>
          <w:szCs w:val="20"/>
        </w:rPr>
      </w:pPr>
      <w:r>
        <w:rPr>
          <w:rFonts w:eastAsia="Gill Sans" w:cs="Gill Sans" w:ascii="Gill Sans" w:hAnsi="Gill Sans"/>
          <w:sz w:val="20"/>
          <w:szCs w:val="20"/>
        </w:rPr>
        <w:t>Taruffo, Michele (2017): Las funciones de las cortes supremas entre uniformidad y justicia. Revista de Derecho Yachaq,, Nr. 8, 20–31</w:t>
      </w:r>
    </w:p>
    <w:p>
      <w:pPr>
        <w:pStyle w:val="Normal"/>
        <w:spacing w:before="0" w:after="0"/>
        <w:ind w:start="720"/>
        <w:jc w:val="both"/>
        <w:rPr>
          <w:rFonts w:ascii="Gill Sans" w:hAnsi="Gill Sans" w:eastAsia="Gill Sans" w:cs="Gill Sans"/>
          <w:sz w:val="20"/>
          <w:szCs w:val="20"/>
        </w:rPr>
      </w:pPr>
      <w:r>
        <w:rPr>
          <w:rFonts w:eastAsia="Gill Sans" w:cs="Gill Sans" w:ascii="Gill Sans" w:hAnsi="Gill Sans"/>
          <w:sz w:val="20"/>
          <w:szCs w:val="20"/>
        </w:rPr>
      </w:r>
    </w:p>
    <w:p>
      <w:pPr>
        <w:pStyle w:val="Normal"/>
        <w:spacing w:before="0" w:after="0"/>
        <w:ind w:start="720"/>
        <w:jc w:val="both"/>
        <w:rPr>
          <w:rFonts w:ascii="Gill Sans" w:hAnsi="Gill Sans" w:eastAsia="Gill Sans" w:cs="Gill Sans"/>
          <w:sz w:val="20"/>
          <w:szCs w:val="20"/>
        </w:rPr>
      </w:pPr>
      <w:r>
        <w:rPr>
          <w:rFonts w:eastAsia="Gill Sans" w:cs="Gill Sans" w:ascii="Gill Sans" w:hAnsi="Gill Sans"/>
          <w:sz w:val="20"/>
          <w:szCs w:val="20"/>
        </w:rPr>
        <w:t xml:space="preserve">Ullmann-Margalit, E. (1983). On presumption. </w:t>
      </w:r>
      <w:r>
        <w:rPr>
          <w:rFonts w:eastAsia="Gill Sans" w:cs="Gill Sans" w:ascii="Gill Sans" w:hAnsi="Gill Sans"/>
          <w:i/>
          <w:sz w:val="20"/>
          <w:szCs w:val="20"/>
        </w:rPr>
        <w:t>The Journal of Philosophy</w:t>
      </w:r>
      <w:r>
        <w:rPr>
          <w:rFonts w:eastAsia="Gill Sans" w:cs="Gill Sans" w:ascii="Gill Sans" w:hAnsi="Gill Sans"/>
          <w:sz w:val="20"/>
          <w:szCs w:val="20"/>
        </w:rPr>
        <w:t xml:space="preserve">, </w:t>
      </w:r>
      <w:r>
        <w:rPr>
          <w:rFonts w:eastAsia="Gill Sans" w:cs="Gill Sans" w:ascii="Gill Sans" w:hAnsi="Gill Sans"/>
          <w:i/>
          <w:sz w:val="20"/>
          <w:szCs w:val="20"/>
        </w:rPr>
        <w:t>80</w:t>
      </w:r>
      <w:r>
        <w:rPr>
          <w:rFonts w:eastAsia="Gill Sans" w:cs="Gill Sans" w:ascii="Gill Sans" w:hAnsi="Gill Sans"/>
          <w:sz w:val="20"/>
          <w:szCs w:val="20"/>
        </w:rPr>
        <w:t xml:space="preserve">(3), 143-163. </w:t>
      </w:r>
      <w:hyperlink r:id="rId2">
        <w:r>
          <w:rPr>
            <w:rStyle w:val="Hyperlink"/>
            <w:rFonts w:eastAsia="Gill Sans" w:cs="Gill Sans" w:ascii="Gill Sans" w:hAnsi="Gill Sans"/>
            <w:sz w:val="20"/>
            <w:szCs w:val="20"/>
          </w:rPr>
          <w:t>https://doi.org/10.2307/2026132</w:t>
        </w:r>
      </w:hyperlink>
    </w:p>
    <w:p>
      <w:pPr>
        <w:pStyle w:val="Normal"/>
        <w:spacing w:before="0" w:after="0"/>
        <w:ind w:start="720"/>
        <w:jc w:val="both"/>
        <w:rPr>
          <w:rFonts w:ascii="Gill Sans" w:hAnsi="Gill Sans" w:eastAsia="Gill Sans" w:cs="Gill Sans"/>
          <w:sz w:val="20"/>
          <w:szCs w:val="20"/>
        </w:rPr>
      </w:pPr>
      <w:r>
        <w:rPr>
          <w:rFonts w:eastAsia="Gill Sans" w:cs="Gill Sans" w:ascii="Gill Sans" w:hAnsi="Gill Sans"/>
          <w:sz w:val="20"/>
          <w:szCs w:val="20"/>
        </w:rPr>
      </w:r>
    </w:p>
    <w:p>
      <w:pPr>
        <w:pStyle w:val="Normal"/>
        <w:numPr>
          <w:ilvl w:val="0"/>
          <w:numId w:val="3"/>
        </w:numPr>
        <w:ind w:hanging="360" w:start="142"/>
        <w:rPr/>
      </w:pPr>
      <w:r>
        <w:rPr>
          <w:rFonts w:eastAsia="Gill Sans" w:cs="Gill Sans" w:ascii="Gill Sans" w:hAnsi="Gill Sans"/>
          <w:b/>
          <w:color w:val="002060"/>
          <w:sz w:val="22"/>
          <w:szCs w:val="22"/>
        </w:rPr>
        <w:t>CRONOGRAMA</w:t>
      </w:r>
    </w:p>
    <w:p>
      <w:pPr>
        <w:pStyle w:val="Normal"/>
        <w:ind w:start="142"/>
        <w:rPr>
          <w:rFonts w:ascii="Gill Sans" w:hAnsi="Gill Sans" w:eastAsia="Gill Sans" w:cs="Gill Sans"/>
          <w:color w:val="4A86E8"/>
          <w:sz w:val="18"/>
          <w:szCs w:val="18"/>
        </w:rPr>
      </w:pPr>
      <w:r>
        <w:rPr>
          <w:rFonts w:eastAsia="Gill Sans" w:cs="Gill Sans" w:ascii="Gill Sans" w:hAnsi="Gill Sans"/>
          <w:color w:val="4A86E8"/>
          <w:sz w:val="18"/>
          <w:szCs w:val="18"/>
        </w:rPr>
      </w:r>
    </w:p>
    <w:p>
      <w:pPr>
        <w:pStyle w:val="Normal"/>
        <w:spacing w:lineRule="auto" w:line="276" w:before="0" w:after="120"/>
        <w:jc w:val="both"/>
        <w:rPr>
          <w:rFonts w:ascii="Gill Sans" w:hAnsi="Gill Sans"/>
          <w:sz w:val="20"/>
          <w:szCs w:val="20"/>
        </w:rPr>
      </w:pPr>
      <w:r>
        <w:rPr>
          <w:rFonts w:eastAsia="Arial" w:cs="Arial" w:ascii="Gill Sans" w:hAnsi="Gill Sans"/>
          <w:i/>
          <w:iCs/>
          <w:sz w:val="20"/>
          <w:szCs w:val="20"/>
        </w:rPr>
        <w:t>Nota: Las dinámicas indicadas son referenciales y podrán ajustarse según el desarrollo del curso y el número de estudiantes.</w:t>
      </w:r>
    </w:p>
    <w:tbl>
      <w:tblPr>
        <w:tblW w:w="9026" w:type="dxa"/>
        <w:jc w:val="start"/>
        <w:tblInd w:w="0" w:type="dxa"/>
        <w:tblLayout w:type="fixed"/>
        <w:tblCellMar>
          <w:top w:w="60" w:type="dxa"/>
          <w:start w:w="100" w:type="dxa"/>
          <w:bottom w:w="60" w:type="dxa"/>
          <w:end w:w="100" w:type="dxa"/>
        </w:tblCellMar>
      </w:tblPr>
      <w:tblGrid>
        <w:gridCol w:w="700"/>
        <w:gridCol w:w="3200"/>
        <w:gridCol w:w="2826"/>
        <w:gridCol w:w="2300"/>
      </w:tblGrid>
      <w:tr>
        <w:trPr/>
        <w:tc>
          <w:tcPr>
            <w:tcW w:w="7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center"/>
              <w:rPr/>
            </w:pPr>
            <w:r>
              <w:rPr>
                <w:rFonts w:eastAsia="Arial" w:cs="Arial" w:ascii="Arial" w:hAnsi="Arial"/>
                <w:b/>
                <w:bCs/>
                <w:sz w:val="18"/>
                <w:szCs w:val="18"/>
              </w:rPr>
              <w:t>Sem.</w:t>
            </w:r>
          </w:p>
        </w:tc>
        <w:tc>
          <w:tcPr>
            <w:tcW w:w="32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rPr/>
            </w:pPr>
            <w:r>
              <w:rPr>
                <w:rFonts w:eastAsia="Arial" w:cs="Arial" w:ascii="Arial" w:hAnsi="Arial"/>
                <w:b/>
                <w:bCs/>
                <w:sz w:val="18"/>
                <w:szCs w:val="18"/>
              </w:rPr>
              <w:t>Unidad temática / Contenido</w:t>
            </w:r>
          </w:p>
        </w:tc>
        <w:tc>
          <w:tcPr>
            <w:tcW w:w="2826"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rPr/>
            </w:pPr>
            <w:r>
              <w:rPr>
                <w:rFonts w:eastAsia="Arial" w:cs="Arial" w:ascii="Arial" w:hAnsi="Arial"/>
                <w:b/>
                <w:bCs/>
                <w:sz w:val="18"/>
                <w:szCs w:val="18"/>
              </w:rPr>
              <w:t>Dinámicas de clase</w:t>
            </w:r>
          </w:p>
        </w:tc>
        <w:tc>
          <w:tcPr>
            <w:tcW w:w="23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rPr/>
            </w:pPr>
            <w:r>
              <w:rPr>
                <w:rFonts w:eastAsia="Arial" w:cs="Arial" w:ascii="Arial" w:hAnsi="Arial"/>
                <w:b/>
                <w:bCs/>
                <w:sz w:val="18"/>
                <w:szCs w:val="18"/>
              </w:rPr>
              <w:t>Evaluación</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23.03</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 xml:space="preserve">Unidad I: </w:t>
            </w:r>
            <w:r>
              <w:rPr>
                <w:rFonts w:eastAsia="Arial" w:cs="Arial" w:ascii="Arial" w:hAnsi="Arial"/>
                <w:sz w:val="18"/>
                <w:szCs w:val="18"/>
              </w:rPr>
              <w:t>Fundamentos del proceso laboral</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La reforma de los procesos laborales en América Latina.</w:t>
            </w:r>
          </w:p>
          <w:p>
            <w:pPr>
              <w:pStyle w:val="Normal"/>
              <w:spacing w:before="0" w:after="40"/>
              <w:rPr/>
            </w:pPr>
            <w:r>
              <w:rPr>
                <w:rFonts w:eastAsia="Arial" w:cs="Arial" w:ascii="Arial" w:hAnsi="Arial"/>
                <w:sz w:val="18"/>
                <w:szCs w:val="18"/>
              </w:rPr>
              <w:t>- Presentación del curso.</w:t>
            </w:r>
          </w:p>
          <w:p>
            <w:pPr>
              <w:pStyle w:val="Normal"/>
              <w:spacing w:before="0" w:after="40"/>
              <w:rPr/>
            </w:pPr>
            <w:r>
              <w:rPr>
                <w:rFonts w:eastAsia="Arial" w:cs="Arial" w:ascii="Arial" w:hAnsi="Arial"/>
                <w:sz w:val="18"/>
                <w:szCs w:val="18"/>
              </w:rPr>
              <w:t>- Ejes de las reformas: oralidad, tecnología y acceso a la justicia.</w:t>
            </w:r>
          </w:p>
          <w:p>
            <w:pPr>
              <w:pStyle w:val="Normal"/>
              <w:spacing w:before="0" w:after="40"/>
              <w:rPr/>
            </w:pPr>
            <w:r>
              <w:rPr>
                <w:rFonts w:eastAsia="Arial" w:cs="Arial" w:ascii="Arial" w:hAnsi="Arial"/>
                <w:sz w:val="18"/>
                <w:szCs w:val="18"/>
              </w:rPr>
              <w:t>- Mirada desde el proceso laboral peruano.</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 xml:space="preserve">Debate estructurado: </w:t>
            </w:r>
            <w:r>
              <w:rPr>
                <w:rFonts w:eastAsia="Arial" w:cs="Arial" w:ascii="Arial" w:hAnsi="Arial"/>
                <w:sz w:val="18"/>
                <w:szCs w:val="18"/>
              </w:rPr>
              <w:t>¿Reforma exitosa o promesa incumplida?</w:t>
            </w:r>
          </w:p>
          <w:p>
            <w:pPr>
              <w:pStyle w:val="Normal"/>
              <w:spacing w:before="0" w:after="40"/>
              <w:rPr/>
            </w:pPr>
            <w:r>
              <w:rPr>
                <w:rFonts w:eastAsia="Arial" w:cs="Arial" w:ascii="Arial" w:hAnsi="Arial"/>
                <w:sz w:val="18"/>
                <w:szCs w:val="18"/>
              </w:rPr>
              <w:t>Recolección de saberes previos.</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2</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30.03</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Principios y fundamentos del proceso laboral.</w:t>
            </w:r>
          </w:p>
          <w:p>
            <w:pPr>
              <w:pStyle w:val="Normal"/>
              <w:spacing w:before="0" w:after="40"/>
              <w:rPr/>
            </w:pPr>
            <w:r>
              <w:rPr>
                <w:rFonts w:eastAsia="Arial" w:cs="Arial" w:ascii="Arial" w:hAnsi="Arial"/>
                <w:sz w:val="18"/>
                <w:szCs w:val="18"/>
              </w:rPr>
              <w:t>- Principios del proceso laboral en general.</w:t>
            </w:r>
          </w:p>
          <w:p>
            <w:pPr>
              <w:pStyle w:val="Normal"/>
              <w:spacing w:before="0" w:after="40"/>
              <w:rPr/>
            </w:pPr>
            <w:r>
              <w:rPr>
                <w:rFonts w:eastAsia="Arial" w:cs="Arial" w:ascii="Arial" w:hAnsi="Arial"/>
                <w:sz w:val="18"/>
                <w:szCs w:val="18"/>
              </w:rPr>
              <w:t>- Principios del proceso laboral peruano.</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Control de lectura N.° 1.</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Control de lectura 1</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3</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06.04</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Poderes de los jueces.</w:t>
            </w:r>
          </w:p>
          <w:p>
            <w:pPr>
              <w:pStyle w:val="Normal"/>
              <w:spacing w:before="0" w:after="40"/>
              <w:rPr/>
            </w:pPr>
            <w:r>
              <w:rPr>
                <w:rFonts w:eastAsia="Arial" w:cs="Arial" w:ascii="Arial" w:hAnsi="Arial"/>
                <w:sz w:val="18"/>
                <w:szCs w:val="18"/>
              </w:rPr>
              <w:t>- Poderes de los jueces en el proceso laboral peruano.</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sz w:val="18"/>
                <w:szCs w:val="18"/>
              </w:rPr>
              <w:t>Discusión de jurisprudencia.</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4</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13.04</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Pretensiones en la justicia laboral.</w:t>
            </w:r>
          </w:p>
          <w:p>
            <w:pPr>
              <w:pStyle w:val="Normal"/>
              <w:spacing w:before="0" w:after="40"/>
              <w:rPr/>
            </w:pPr>
            <w:r>
              <w:rPr>
                <w:rFonts w:eastAsia="Arial" w:cs="Arial" w:ascii="Arial" w:hAnsi="Arial"/>
                <w:sz w:val="18"/>
                <w:szCs w:val="18"/>
              </w:rPr>
              <w:t>- Pretensiones o materias laborales y su regulación en el ordenamiento peruano.</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Control de lectura N.° 2.</w:t>
            </w:r>
          </w:p>
          <w:p>
            <w:pPr>
              <w:pStyle w:val="Normal"/>
              <w:spacing w:before="0" w:after="40"/>
              <w:rPr/>
            </w:pPr>
            <w:r>
              <w:rPr>
                <w:rFonts w:eastAsia="Arial" w:cs="Arial" w:ascii="Arial" w:hAnsi="Arial"/>
                <w:b/>
                <w:bCs/>
                <w:sz w:val="18"/>
                <w:szCs w:val="18"/>
              </w:rPr>
              <w:t xml:space="preserve">Taller: </w:t>
            </w:r>
            <w:r>
              <w:rPr>
                <w:rFonts w:eastAsia="Arial" w:cs="Arial" w:ascii="Arial" w:hAnsi="Arial"/>
                <w:sz w:val="18"/>
                <w:szCs w:val="18"/>
              </w:rPr>
              <w:t>Mapa de pretensiones laborales (trabajo grupal en clase).</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Control de lectura 2</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5</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20.04</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 xml:space="preserve">Unidad II: </w:t>
            </w:r>
            <w:r>
              <w:rPr>
                <w:rFonts w:eastAsia="Arial" w:cs="Arial" w:ascii="Arial" w:hAnsi="Arial"/>
                <w:sz w:val="18"/>
                <w:szCs w:val="18"/>
              </w:rPr>
              <w:t>Tipos de procesos; actos procesales; y medios impugnatorios</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Tipos de procesos (netamente) laborales.</w:t>
            </w:r>
          </w:p>
          <w:p>
            <w:pPr>
              <w:pStyle w:val="Normal"/>
              <w:spacing w:before="0" w:after="40"/>
              <w:rPr/>
            </w:pPr>
            <w:r>
              <w:rPr>
                <w:rFonts w:eastAsia="Arial" w:cs="Arial" w:ascii="Arial" w:hAnsi="Arial"/>
                <w:sz w:val="18"/>
                <w:szCs w:val="18"/>
              </w:rPr>
              <w:t>- Procesos en la NLPT: ordinario, abreviado, único e impugnación de laudos.</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Control de lectura N.° 3.</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Control de lectura 3</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6</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27.04</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Otros tipos de proceso (no netamente laborales).</w:t>
            </w:r>
          </w:p>
          <w:p>
            <w:pPr>
              <w:pStyle w:val="Normal"/>
              <w:spacing w:before="0" w:after="40"/>
              <w:rPr/>
            </w:pPr>
            <w:r>
              <w:rPr>
                <w:rFonts w:eastAsia="Arial" w:cs="Arial" w:ascii="Arial" w:hAnsi="Arial"/>
                <w:sz w:val="18"/>
                <w:szCs w:val="18"/>
              </w:rPr>
              <w:t>- Proceso contencioso administrativo laboral y acción de amparo.</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Exposición grupal</w:t>
            </w:r>
            <w:r>
              <w:rPr>
                <w:rFonts w:eastAsia="Arial" w:cs="Arial" w:ascii="Arial" w:hAnsi="Arial"/>
                <w:sz w:val="18"/>
                <w:szCs w:val="18"/>
              </w:rPr>
              <w:t xml:space="preserve"> del tema por estudiantes.</w:t>
            </w:r>
          </w:p>
          <w:p>
            <w:pPr>
              <w:pStyle w:val="Normal"/>
              <w:spacing w:before="0" w:after="40"/>
              <w:rPr/>
            </w:pPr>
            <w:r>
              <w:rPr>
                <w:rFonts w:eastAsia="Arial" w:cs="Arial" w:ascii="Arial" w:hAnsi="Arial"/>
                <w:sz w:val="18"/>
                <w:szCs w:val="18"/>
              </w:rPr>
              <w:t>Complementación por el docente.</w:t>
            </w:r>
          </w:p>
          <w:p>
            <w:pPr>
              <w:pStyle w:val="Normal"/>
              <w:spacing w:before="0" w:after="40"/>
              <w:rPr/>
            </w:pPr>
            <w:r>
              <w:rPr>
                <w:rFonts w:eastAsia="Arial" w:cs="Arial" w:ascii="Arial" w:hAnsi="Arial"/>
                <w:sz w:val="18"/>
                <w:szCs w:val="18"/>
              </w:rPr>
              <w:t>Discusión en clase.</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Exposición grupal (Grupo A)</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7</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04.05</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Los actos procesales: demanda, contestación y sentencia.</w:t>
            </w:r>
          </w:p>
          <w:p>
            <w:pPr>
              <w:pStyle w:val="Normal"/>
              <w:spacing w:before="0" w:after="40"/>
              <w:rPr/>
            </w:pPr>
            <w:r>
              <w:rPr>
                <w:rFonts w:eastAsia="Arial" w:cs="Arial" w:ascii="Arial" w:hAnsi="Arial"/>
                <w:sz w:val="18"/>
                <w:szCs w:val="18"/>
              </w:rPr>
              <w:t>- Requisitos y contenido de los principales actos procesales en la NLPT.</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 xml:space="preserve">Taller: </w:t>
            </w:r>
            <w:r>
              <w:rPr>
                <w:rFonts w:eastAsia="Arial" w:cs="Arial" w:ascii="Arial" w:hAnsi="Arial"/>
                <w:sz w:val="18"/>
                <w:szCs w:val="18"/>
              </w:rPr>
              <w:t>Redacción de actos procesales (demanda y contestación en parejas).</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8</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11.05</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Medios impugnatorios.</w:t>
            </w:r>
          </w:p>
          <w:p>
            <w:pPr>
              <w:pStyle w:val="Normal"/>
              <w:spacing w:before="0" w:after="40"/>
              <w:rPr/>
            </w:pPr>
            <w:r>
              <w:rPr>
                <w:rFonts w:eastAsia="Arial" w:cs="Arial" w:ascii="Arial" w:hAnsi="Arial"/>
                <w:sz w:val="18"/>
                <w:szCs w:val="18"/>
              </w:rPr>
              <w:t>- Principales medios impugnatorios en la NLPT.</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sz w:val="18"/>
                <w:szCs w:val="18"/>
              </w:rPr>
              <w:t>Discusión de jurisprudencia.</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9</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18.05</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Casación.</w:t>
            </w:r>
          </w:p>
          <w:p>
            <w:pPr>
              <w:pStyle w:val="Normal"/>
              <w:spacing w:before="0" w:after="40"/>
              <w:rPr/>
            </w:pPr>
            <w:r>
              <w:rPr>
                <w:rFonts w:eastAsia="Arial" w:cs="Arial" w:ascii="Arial" w:hAnsi="Arial"/>
                <w:sz w:val="18"/>
                <w:szCs w:val="18"/>
              </w:rPr>
              <w:t>- La casación laboral.</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 xml:space="preserve">Taller: </w:t>
            </w:r>
            <w:r>
              <w:rPr>
                <w:rFonts w:eastAsia="Arial" w:cs="Arial" w:ascii="Arial" w:hAnsi="Arial"/>
                <w:sz w:val="18"/>
                <w:szCs w:val="18"/>
              </w:rPr>
              <w:t>Análisis crítico de casaciones laborales reales.</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10</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25.05</w:t>
            </w:r>
          </w:p>
        </w:tc>
        <w:tc>
          <w:tcPr>
            <w:tcW w:w="32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rPr/>
            </w:pPr>
            <w:r>
              <w:rPr>
                <w:rFonts w:eastAsia="Arial" w:cs="Arial" w:ascii="Arial" w:hAnsi="Arial"/>
                <w:b/>
                <w:bCs/>
                <w:sz w:val="18"/>
                <w:szCs w:val="18"/>
              </w:rPr>
              <w:t>EXAMEN PARCIAL</w:t>
            </w:r>
          </w:p>
        </w:tc>
        <w:tc>
          <w:tcPr>
            <w:tcW w:w="2826"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rPr/>
            </w:pPr>
            <w:r>
              <w:rPr>
                <w:rFonts w:eastAsia="Arial" w:cs="Arial" w:ascii="Arial" w:hAnsi="Arial"/>
                <w:sz w:val="18"/>
                <w:szCs w:val="18"/>
              </w:rPr>
              <w:t>Examen escrito y/u oral (según indicación previa).</w:t>
            </w:r>
          </w:p>
        </w:tc>
        <w:tc>
          <w:tcPr>
            <w:tcW w:w="23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Examen parcial (EP)</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11</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01.06</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 xml:space="preserve">Unidad III: </w:t>
            </w:r>
            <w:r>
              <w:rPr>
                <w:rFonts w:eastAsia="Arial" w:cs="Arial" w:ascii="Arial" w:hAnsi="Arial"/>
                <w:sz w:val="18"/>
                <w:szCs w:val="18"/>
              </w:rPr>
              <w:t>Mecanismos alternativos; conflictos económicos; sindicatos</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Conciliación y arbitraje.</w:t>
            </w:r>
          </w:p>
          <w:p>
            <w:pPr>
              <w:pStyle w:val="Normal"/>
              <w:spacing w:before="0" w:after="40"/>
              <w:rPr/>
            </w:pPr>
            <w:r>
              <w:rPr>
                <w:rFonts w:eastAsia="Arial" w:cs="Arial" w:ascii="Arial" w:hAnsi="Arial"/>
                <w:sz w:val="18"/>
                <w:szCs w:val="18"/>
              </w:rPr>
              <w:t>- Medios alternativos de resolución de conflictos.</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Control de lectura N.° 4.</w:t>
            </w:r>
          </w:p>
          <w:p>
            <w:pPr>
              <w:pStyle w:val="Normal"/>
              <w:spacing w:before="0" w:after="40"/>
              <w:rPr/>
            </w:pPr>
            <w:r>
              <w:rPr>
                <w:rFonts w:eastAsia="Arial" w:cs="Arial" w:ascii="Arial" w:hAnsi="Arial"/>
                <w:b/>
                <w:bCs/>
                <w:sz w:val="18"/>
                <w:szCs w:val="18"/>
              </w:rPr>
              <w:t xml:space="preserve">Simulación: </w:t>
            </w:r>
            <w:r>
              <w:rPr>
                <w:rFonts w:eastAsia="Arial" w:cs="Arial" w:ascii="Arial" w:hAnsi="Arial"/>
                <w:sz w:val="18"/>
                <w:szCs w:val="18"/>
              </w:rPr>
              <w:t>Audiencia de conciliación laboral (juego de roles).</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Control de lectura 4</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12</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08.06</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III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Solución de conflictos económicos.</w:t>
            </w:r>
          </w:p>
          <w:p>
            <w:pPr>
              <w:pStyle w:val="Normal"/>
              <w:spacing w:before="0" w:after="40"/>
              <w:rPr/>
            </w:pPr>
            <w:r>
              <w:rPr>
                <w:rFonts w:eastAsia="Arial" w:cs="Arial" w:ascii="Arial" w:hAnsi="Arial"/>
                <w:sz w:val="18"/>
                <w:szCs w:val="18"/>
              </w:rPr>
              <w:t>- Tipos de conflictos laborales.</w:t>
            </w:r>
          </w:p>
          <w:p>
            <w:pPr>
              <w:pStyle w:val="Normal"/>
              <w:spacing w:before="0" w:after="40"/>
              <w:rPr/>
            </w:pPr>
            <w:r>
              <w:rPr>
                <w:rFonts w:eastAsia="Arial" w:cs="Arial" w:ascii="Arial" w:hAnsi="Arial"/>
                <w:sz w:val="18"/>
                <w:szCs w:val="18"/>
              </w:rPr>
              <w:t>- Impugnación de convenios o laudos arbitrales económicos.</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 xml:space="preserve">Taller: </w:t>
            </w:r>
            <w:r>
              <w:rPr>
                <w:rFonts w:eastAsia="Arial" w:cs="Arial" w:ascii="Arial" w:hAnsi="Arial"/>
                <w:sz w:val="18"/>
                <w:szCs w:val="18"/>
              </w:rPr>
              <w:t>Análisis comparado de laudo arbitral y convenio colectivo.</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13</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15.06</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III</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Participación de los sindicatos.</w:t>
            </w:r>
          </w:p>
          <w:p>
            <w:pPr>
              <w:pStyle w:val="Normal"/>
              <w:spacing w:before="0" w:after="40"/>
              <w:rPr/>
            </w:pPr>
            <w:r>
              <w:rPr>
                <w:rFonts w:eastAsia="Arial" w:cs="Arial" w:ascii="Arial" w:hAnsi="Arial"/>
                <w:sz w:val="18"/>
                <w:szCs w:val="18"/>
              </w:rPr>
              <w:t>- Participación de los sindicatos en la NLPT.</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Exposición grupal</w:t>
            </w:r>
            <w:r>
              <w:rPr>
                <w:rFonts w:eastAsia="Arial" w:cs="Arial" w:ascii="Arial" w:hAnsi="Arial"/>
                <w:sz w:val="18"/>
                <w:szCs w:val="18"/>
              </w:rPr>
              <w:t xml:space="preserve"> del tema por estudiantes.</w:t>
            </w:r>
          </w:p>
          <w:p>
            <w:pPr>
              <w:pStyle w:val="Normal"/>
              <w:spacing w:before="0" w:after="40"/>
              <w:rPr/>
            </w:pPr>
            <w:r>
              <w:rPr>
                <w:rFonts w:eastAsia="Arial" w:cs="Arial" w:ascii="Arial" w:hAnsi="Arial"/>
                <w:sz w:val="18"/>
                <w:szCs w:val="18"/>
              </w:rPr>
              <w:t>Complementación por el docente.</w:t>
            </w:r>
          </w:p>
          <w:p>
            <w:pPr>
              <w:pStyle w:val="Normal"/>
              <w:spacing w:before="0" w:after="40"/>
              <w:rPr/>
            </w:pPr>
            <w:r>
              <w:rPr>
                <w:rFonts w:eastAsia="Arial" w:cs="Arial" w:ascii="Arial" w:hAnsi="Arial"/>
                <w:b/>
                <w:bCs/>
                <w:sz w:val="18"/>
                <w:szCs w:val="18"/>
              </w:rPr>
              <w:t>Control de lectura N.° 5.</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Exposición grupal (Grupo B)</w:t>
            </w:r>
          </w:p>
          <w:p>
            <w:pPr>
              <w:pStyle w:val="Normal"/>
              <w:spacing w:before="0" w:after="40"/>
              <w:rPr/>
            </w:pPr>
            <w:r>
              <w:rPr>
                <w:rFonts w:eastAsia="Arial" w:cs="Arial" w:ascii="Arial" w:hAnsi="Arial"/>
                <w:b/>
                <w:bCs/>
                <w:sz w:val="18"/>
                <w:szCs w:val="18"/>
              </w:rPr>
              <w:t>Control de lectura 5</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14</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22.06</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 xml:space="preserve">Unidad IV: </w:t>
            </w:r>
            <w:r>
              <w:rPr>
                <w:rFonts w:eastAsia="Arial" w:cs="Arial" w:ascii="Arial" w:hAnsi="Arial"/>
                <w:sz w:val="18"/>
                <w:szCs w:val="18"/>
              </w:rPr>
              <w:t>Teoría de la prueba y razonamiento probatorio</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Teoría de la prueba.</w:t>
            </w:r>
          </w:p>
          <w:p>
            <w:pPr>
              <w:pStyle w:val="Normal"/>
              <w:spacing w:before="0" w:after="40"/>
              <w:rPr/>
            </w:pPr>
            <w:r>
              <w:rPr>
                <w:rFonts w:eastAsia="Arial" w:cs="Arial" w:ascii="Arial" w:hAnsi="Arial"/>
                <w:sz w:val="18"/>
                <w:szCs w:val="18"/>
              </w:rPr>
              <w:t>- Actuación probatoria y presunciones.</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 xml:space="preserve">Taller: </w:t>
            </w:r>
            <w:r>
              <w:rPr>
                <w:rFonts w:eastAsia="Arial" w:cs="Arial" w:ascii="Arial" w:hAnsi="Arial"/>
                <w:sz w:val="18"/>
                <w:szCs w:val="18"/>
              </w:rPr>
              <w:t>Reconstrucción del razonamiento probatorio de una sentencia.</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15</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03.07</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IV</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Razonamiento probatorio. Teoría del caso (Parte 1).</w:t>
            </w:r>
          </w:p>
          <w:p>
            <w:pPr>
              <w:pStyle w:val="Normal"/>
              <w:spacing w:before="0" w:after="40"/>
              <w:rPr/>
            </w:pPr>
            <w:r>
              <w:rPr>
                <w:rFonts w:eastAsia="Arial" w:cs="Arial" w:ascii="Arial" w:hAnsi="Arial"/>
                <w:sz w:val="18"/>
                <w:szCs w:val="18"/>
              </w:rPr>
              <w:t>- Construcción de la teoría del caso.</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Clase magistral participativa.</w:t>
            </w:r>
          </w:p>
          <w:p>
            <w:pPr>
              <w:pStyle w:val="Normal"/>
              <w:spacing w:before="0" w:after="40"/>
              <w:rPr/>
            </w:pPr>
            <w:r>
              <w:rPr>
                <w:rFonts w:eastAsia="Arial" w:cs="Arial" w:ascii="Arial" w:hAnsi="Arial"/>
                <w:b/>
                <w:bCs/>
                <w:sz w:val="18"/>
                <w:szCs w:val="18"/>
              </w:rPr>
              <w:t xml:space="preserve">Simulación: </w:t>
            </w:r>
            <w:r>
              <w:rPr>
                <w:rFonts w:eastAsia="Arial" w:cs="Arial" w:ascii="Arial" w:hAnsi="Arial"/>
                <w:sz w:val="18"/>
                <w:szCs w:val="18"/>
              </w:rPr>
              <w:t>Juego de roles – construcción de la teoría del caso (abogados y jueces).</w:t>
            </w:r>
          </w:p>
          <w:p>
            <w:pPr>
              <w:pStyle w:val="Normal"/>
              <w:spacing w:before="0" w:after="40"/>
              <w:rPr/>
            </w:pPr>
            <w:r>
              <w:rPr>
                <w:rFonts w:eastAsia="Arial" w:cs="Arial" w:ascii="Arial" w:hAnsi="Arial"/>
                <w:b/>
                <w:bCs/>
                <w:sz w:val="18"/>
                <w:szCs w:val="18"/>
              </w:rPr>
              <w:t>Control de lectura N.° 6.</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Control de lectura 6</w:t>
            </w:r>
          </w:p>
        </w:tc>
      </w:tr>
      <w:tr>
        <w:trPr/>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1</w:t>
            </w:r>
            <w:r>
              <w:rPr>
                <w:rFonts w:eastAsia="Arial" w:cs="Arial" w:ascii="Arial" w:hAnsi="Arial"/>
                <w:b w:val="false"/>
                <w:bCs w:val="false"/>
                <w:sz w:val="18"/>
                <w:szCs w:val="18"/>
              </w:rPr>
              <w:t>5</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03.07</w:t>
            </w:r>
          </w:p>
        </w:tc>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Unidad IV</w:t>
            </w:r>
          </w:p>
          <w:p>
            <w:pPr>
              <w:pStyle w:val="Normal"/>
              <w:spacing w:before="0" w:after="40"/>
              <w:rPr/>
            </w:pPr>
            <w:r>
              <w:rPr>
                <w:rFonts w:eastAsia="Arial" w:cs="Arial" w:ascii="Arial" w:hAnsi="Arial"/>
                <w:b/>
                <w:bCs/>
                <w:sz w:val="18"/>
                <w:szCs w:val="18"/>
              </w:rPr>
              <w:t xml:space="preserve">Tema: </w:t>
            </w:r>
            <w:r>
              <w:rPr>
                <w:rFonts w:eastAsia="Arial" w:cs="Arial" w:ascii="Arial" w:hAnsi="Arial"/>
                <w:sz w:val="18"/>
                <w:szCs w:val="18"/>
              </w:rPr>
              <w:t>Razonamiento probatorio. Teoría del caso (Parte 2).</w:t>
            </w:r>
          </w:p>
          <w:p>
            <w:pPr>
              <w:pStyle w:val="Normal"/>
              <w:spacing w:before="0" w:after="40"/>
              <w:rPr/>
            </w:pPr>
            <w:r>
              <w:rPr>
                <w:rFonts w:eastAsia="Arial" w:cs="Arial" w:ascii="Arial" w:hAnsi="Arial"/>
                <w:sz w:val="18"/>
                <w:szCs w:val="18"/>
              </w:rPr>
              <w:t>- Límites de la teoría del caso.</w:t>
            </w:r>
          </w:p>
        </w:tc>
        <w:tc>
          <w:tcPr>
            <w:tcW w:w="2826"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b/>
                <w:bCs/>
                <w:sz w:val="18"/>
                <w:szCs w:val="18"/>
              </w:rPr>
              <w:t xml:space="preserve">Simulación: </w:t>
            </w:r>
            <w:r>
              <w:rPr>
                <w:rFonts w:eastAsia="Arial" w:cs="Arial" w:ascii="Arial" w:hAnsi="Arial"/>
                <w:sz w:val="18"/>
                <w:szCs w:val="18"/>
              </w:rPr>
              <w:t>Confrontación de teorías del caso y evaluación crítica.</w:t>
            </w:r>
          </w:p>
          <w:p>
            <w:pPr>
              <w:pStyle w:val="Normal"/>
              <w:spacing w:before="0" w:after="40"/>
              <w:rPr/>
            </w:pPr>
            <w:r>
              <w:rPr>
                <w:rFonts w:eastAsia="Arial" w:cs="Arial" w:ascii="Arial" w:hAnsi="Arial"/>
                <w:sz w:val="18"/>
                <w:szCs w:val="18"/>
              </w:rPr>
              <w:t>Discusión plenaria sobre límites de la teoría del caso.</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before="0" w:after="40"/>
              <w:rPr/>
            </w:pPr>
            <w:r>
              <w:rPr>
                <w:rFonts w:eastAsia="Arial" w:cs="Arial" w:ascii="Arial" w:hAnsi="Arial"/>
                <w:sz w:val="18"/>
                <w:szCs w:val="18"/>
              </w:rPr>
              <w:t>Asistencia</w:t>
            </w:r>
          </w:p>
        </w:tc>
      </w:tr>
      <w:tr>
        <w:trPr/>
        <w:tc>
          <w:tcPr>
            <w:tcW w:w="7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jc w:val="center"/>
              <w:rPr/>
            </w:pPr>
            <w:r>
              <w:rPr>
                <w:rFonts w:eastAsia="Arial" w:cs="Arial" w:ascii="Arial" w:hAnsi="Arial"/>
                <w:b w:val="false"/>
                <w:bCs w:val="false"/>
                <w:sz w:val="18"/>
                <w:szCs w:val="18"/>
              </w:rPr>
              <w:t>1</w:t>
            </w:r>
            <w:r>
              <w:rPr>
                <w:rFonts w:eastAsia="Arial" w:cs="Arial" w:ascii="Arial" w:hAnsi="Arial"/>
                <w:b w:val="false"/>
                <w:bCs w:val="false"/>
                <w:sz w:val="18"/>
                <w:szCs w:val="18"/>
              </w:rPr>
              <w:t>6</w:t>
            </w:r>
          </w:p>
          <w:p>
            <w:pPr>
              <w:pStyle w:val="Normal"/>
              <w:spacing w:before="0" w:after="40"/>
              <w:jc w:val="center"/>
              <w:rPr>
                <w:rFonts w:ascii="Arial" w:hAnsi="Arial" w:eastAsia="Arial" w:cs="Arial"/>
                <w:b w:val="false"/>
                <w:bCs w:val="false"/>
                <w:sz w:val="18"/>
                <w:szCs w:val="18"/>
              </w:rPr>
            </w:pPr>
            <w:r>
              <w:rPr>
                <w:rFonts w:eastAsia="Arial" w:cs="Arial" w:ascii="Arial" w:hAnsi="Arial"/>
                <w:b w:val="false"/>
                <w:bCs w:val="false"/>
                <w:sz w:val="18"/>
                <w:szCs w:val="18"/>
              </w:rPr>
              <w:t>06.07</w:t>
            </w:r>
          </w:p>
        </w:tc>
        <w:tc>
          <w:tcPr>
            <w:tcW w:w="32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rPr/>
            </w:pPr>
            <w:r>
              <w:rPr>
                <w:rFonts w:eastAsia="Arial" w:cs="Arial" w:ascii="Arial" w:hAnsi="Arial"/>
                <w:b/>
                <w:bCs/>
                <w:sz w:val="18"/>
                <w:szCs w:val="18"/>
              </w:rPr>
              <w:t>EXAMEN FINAL</w:t>
            </w:r>
          </w:p>
        </w:tc>
        <w:tc>
          <w:tcPr>
            <w:tcW w:w="2826"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rPr/>
            </w:pPr>
            <w:r>
              <w:rPr>
                <w:rFonts w:eastAsia="Arial" w:cs="Arial" w:ascii="Arial" w:hAnsi="Arial"/>
                <w:sz w:val="18"/>
                <w:szCs w:val="18"/>
              </w:rPr>
              <w:t>Examen escrito y/u oral (según indicación previa).</w:t>
            </w:r>
          </w:p>
        </w:tc>
        <w:tc>
          <w:tcPr>
            <w:tcW w:w="23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40"/>
              <w:rPr/>
            </w:pPr>
            <w:r>
              <w:rPr>
                <w:rFonts w:eastAsia="Arial" w:cs="Arial" w:ascii="Arial" w:hAnsi="Arial"/>
                <w:sz w:val="18"/>
                <w:szCs w:val="18"/>
              </w:rPr>
              <w:t>Asistencia</w:t>
            </w:r>
          </w:p>
          <w:p>
            <w:pPr>
              <w:pStyle w:val="Normal"/>
              <w:spacing w:before="0" w:after="40"/>
              <w:rPr/>
            </w:pPr>
            <w:r>
              <w:rPr>
                <w:rFonts w:eastAsia="Arial" w:cs="Arial" w:ascii="Arial" w:hAnsi="Arial"/>
                <w:b/>
                <w:bCs/>
                <w:sz w:val="18"/>
                <w:szCs w:val="18"/>
              </w:rPr>
              <w:t>Examen final (EF)</w:t>
            </w:r>
          </w:p>
        </w:tc>
      </w:tr>
    </w:tbl>
    <w:p>
      <w:pPr>
        <w:pStyle w:val="Heading2"/>
        <w:spacing w:before="300" w:after="200"/>
        <w:rPr/>
      </w:pPr>
      <w:r>
        <w:rPr>
          <w:rFonts w:eastAsia="Arial" w:cs="Arial" w:ascii="Arial" w:hAnsi="Arial"/>
          <w:b/>
          <w:bCs/>
          <w:sz w:val="26"/>
          <w:szCs w:val="26"/>
        </w:rPr>
        <w:t>Resumen de evaluaciones por semana</w:t>
      </w:r>
    </w:p>
    <w:tbl>
      <w:tblPr>
        <w:tblW w:w="9026" w:type="dxa"/>
        <w:jc w:val="start"/>
        <w:tblInd w:w="0" w:type="dxa"/>
        <w:tblLayout w:type="fixed"/>
        <w:tblCellMar>
          <w:top w:w="60" w:type="dxa"/>
          <w:start w:w="100" w:type="dxa"/>
          <w:bottom w:w="60" w:type="dxa"/>
          <w:end w:w="100" w:type="dxa"/>
        </w:tblCellMar>
      </w:tblPr>
      <w:tblGrid>
        <w:gridCol w:w="2000"/>
        <w:gridCol w:w="7026"/>
      </w:tblGrid>
      <w:tr>
        <w:trPr/>
        <w:tc>
          <w:tcPr>
            <w:tcW w:w="20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start"/>
              <w:rPr/>
            </w:pPr>
            <w:r>
              <w:rPr>
                <w:rFonts w:eastAsia="Arial" w:cs="Arial" w:ascii="Arial" w:hAnsi="Arial"/>
                <w:b/>
                <w:bCs/>
                <w:sz w:val="20"/>
                <w:szCs w:val="20"/>
              </w:rPr>
              <w:t>Evaluación</w:t>
            </w:r>
          </w:p>
        </w:tc>
        <w:tc>
          <w:tcPr>
            <w:tcW w:w="7026"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40"/>
              <w:jc w:val="start"/>
              <w:rPr/>
            </w:pPr>
            <w:r>
              <w:rPr>
                <w:rFonts w:eastAsia="Arial" w:cs="Arial" w:ascii="Arial" w:hAnsi="Arial"/>
                <w:b/>
                <w:bCs/>
                <w:sz w:val="20"/>
                <w:szCs w:val="20"/>
              </w:rPr>
              <w:t>Semanas</w:t>
            </w:r>
          </w:p>
        </w:tc>
      </w:tr>
      <w:tr>
        <w:trPr/>
        <w:tc>
          <w:tcPr>
            <w:tcW w:w="2000"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pPr>
            <w:r>
              <w:rPr>
                <w:rFonts w:eastAsia="Arial" w:cs="Arial" w:ascii="Arial" w:hAnsi="Arial"/>
                <w:b w:val="false"/>
                <w:bCs w:val="false"/>
                <w:sz w:val="20"/>
                <w:szCs w:val="20"/>
              </w:rPr>
              <w:t>Controles de lectura</w:t>
            </w:r>
          </w:p>
        </w:tc>
        <w:tc>
          <w:tcPr>
            <w:tcW w:w="7026"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pPr>
            <w:r>
              <w:rPr>
                <w:rFonts w:eastAsia="Arial" w:cs="Arial" w:ascii="Arial" w:hAnsi="Arial"/>
                <w:b w:val="false"/>
                <w:bCs w:val="false"/>
                <w:sz w:val="20"/>
                <w:szCs w:val="20"/>
              </w:rPr>
              <w:t>Semanas 2, 4, 5 (antes del parcial) y 11, 13, 15 (después del parcial)</w:t>
            </w:r>
          </w:p>
        </w:tc>
      </w:tr>
      <w:tr>
        <w:trPr/>
        <w:tc>
          <w:tcPr>
            <w:tcW w:w="2000"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pPr>
            <w:r>
              <w:rPr>
                <w:rFonts w:eastAsia="Arial" w:cs="Arial" w:ascii="Arial" w:hAnsi="Arial"/>
                <w:b w:val="false"/>
                <w:bCs w:val="false"/>
                <w:sz w:val="20"/>
                <w:szCs w:val="20"/>
              </w:rPr>
              <w:t>Exposiciones grupales</w:t>
            </w:r>
          </w:p>
        </w:tc>
        <w:tc>
          <w:tcPr>
            <w:tcW w:w="7026"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pPr>
            <w:r>
              <w:rPr>
                <w:rFonts w:eastAsia="Arial" w:cs="Arial" w:ascii="Arial" w:hAnsi="Arial"/>
                <w:b w:val="false"/>
                <w:bCs w:val="false"/>
                <w:sz w:val="20"/>
                <w:szCs w:val="20"/>
              </w:rPr>
              <w:t>Semanas 6 y 13 (ajustable según número de grupos)</w:t>
            </w:r>
          </w:p>
        </w:tc>
      </w:tr>
      <w:tr>
        <w:trPr/>
        <w:tc>
          <w:tcPr>
            <w:tcW w:w="2000"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pPr>
            <w:r>
              <w:rPr>
                <w:rFonts w:eastAsia="Arial" w:cs="Arial" w:ascii="Arial" w:hAnsi="Arial"/>
                <w:b w:val="false"/>
                <w:bCs w:val="false"/>
                <w:sz w:val="20"/>
                <w:szCs w:val="20"/>
              </w:rPr>
              <w:t>Examen parcial</w:t>
            </w:r>
          </w:p>
        </w:tc>
        <w:tc>
          <w:tcPr>
            <w:tcW w:w="7026"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pPr>
            <w:r>
              <w:rPr>
                <w:rFonts w:eastAsia="Arial" w:cs="Arial" w:ascii="Arial" w:hAnsi="Arial"/>
                <w:b w:val="false"/>
                <w:bCs w:val="false"/>
                <w:sz w:val="20"/>
                <w:szCs w:val="20"/>
              </w:rPr>
              <w:t>Semana 10</w:t>
            </w:r>
          </w:p>
        </w:tc>
      </w:tr>
      <w:tr>
        <w:trPr/>
        <w:tc>
          <w:tcPr>
            <w:tcW w:w="2000"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pPr>
            <w:r>
              <w:rPr>
                <w:rFonts w:eastAsia="Arial" w:cs="Arial" w:ascii="Arial" w:hAnsi="Arial"/>
                <w:b w:val="false"/>
                <w:bCs w:val="false"/>
                <w:sz w:val="20"/>
                <w:szCs w:val="20"/>
              </w:rPr>
              <w:t>Examen final</w:t>
            </w:r>
          </w:p>
        </w:tc>
        <w:tc>
          <w:tcPr>
            <w:tcW w:w="7026" w:type="dxa"/>
            <w:tcBorders>
              <w:top w:val="single" w:sz="2" w:space="0" w:color="999999"/>
              <w:start w:val="single" w:sz="2" w:space="0" w:color="999999"/>
              <w:bottom w:val="single" w:sz="2" w:space="0" w:color="999999"/>
              <w:end w:val="single" w:sz="2" w:space="0" w:color="999999"/>
            </w:tcBorders>
          </w:tcPr>
          <w:p>
            <w:pPr>
              <w:pStyle w:val="Normal"/>
              <w:spacing w:before="0" w:after="40"/>
              <w:jc w:val="start"/>
              <w:rPr>
                <w:rFonts w:ascii="Arial" w:hAnsi="Arial" w:eastAsia="Arial" w:cs="Arial"/>
                <w:b w:val="false"/>
                <w:bCs w:val="false"/>
                <w:sz w:val="20"/>
                <w:szCs w:val="20"/>
              </w:rPr>
            </w:pPr>
            <w:r>
              <w:rPr>
                <w:rFonts w:eastAsia="Arial" w:cs="Arial" w:ascii="Arial" w:hAnsi="Arial"/>
                <w:b w:val="false"/>
                <w:bCs w:val="false"/>
                <w:sz w:val="20"/>
                <w:szCs w:val="20"/>
              </w:rPr>
              <w:t>Semana 1</w:t>
            </w:r>
            <w:r>
              <w:rPr>
                <w:rFonts w:eastAsia="Arial" w:cs="Arial" w:ascii="Arial" w:hAnsi="Arial"/>
                <w:b w:val="false"/>
                <w:bCs w:val="false"/>
                <w:sz w:val="20"/>
                <w:szCs w:val="20"/>
              </w:rPr>
              <w:t>6</w:t>
            </w:r>
          </w:p>
        </w:tc>
      </w:tr>
    </w:tbl>
    <w:p>
      <w:pPr>
        <w:pStyle w:val="Normal"/>
        <w:rPr>
          <w:rFonts w:ascii="Gill Sans" w:hAnsi="Gill Sans" w:eastAsia="Gill Sans" w:cs="Gill Sans"/>
          <w:color w:val="4A86E8"/>
          <w:sz w:val="20"/>
          <w:szCs w:val="20"/>
        </w:rPr>
      </w:pPr>
      <w:r>
        <w:rPr>
          <w:rFonts w:eastAsia="Gill Sans" w:cs="Gill Sans" w:ascii="Gill Sans" w:hAnsi="Gill Sans"/>
          <w:color w:val="4A86E8"/>
          <w:sz w:val="20"/>
          <w:szCs w:val="20"/>
        </w:rPr>
      </w:r>
    </w:p>
    <w:p>
      <w:pPr>
        <w:pStyle w:val="Normal"/>
        <w:rPr>
          <w:rFonts w:ascii="Gill Sans" w:hAnsi="Gill Sans" w:eastAsia="Gill Sans" w:cs="Gill Sans"/>
          <w:i w:val="false"/>
          <w:iCs w:val="false"/>
          <w:color w:val="4A86E8"/>
          <w:sz w:val="22"/>
          <w:szCs w:val="22"/>
        </w:rPr>
      </w:pPr>
      <w:r>
        <w:rPr>
          <w:rFonts w:eastAsia="Gill Sans" w:cs="Gill Sans" w:ascii="Gill Sans" w:hAnsi="Gill Sans"/>
          <w:i w:val="false"/>
          <w:iCs w:val="false"/>
          <w:color w:val="4A86E8"/>
          <w:sz w:val="22"/>
          <w:szCs w:val="22"/>
        </w:rPr>
      </w:r>
    </w:p>
    <w:p>
      <w:pPr>
        <w:pStyle w:val="Normal"/>
        <w:numPr>
          <w:ilvl w:val="0"/>
          <w:numId w:val="3"/>
        </w:numPr>
        <w:ind w:hanging="142" w:start="142"/>
        <w:rPr>
          <w:rFonts w:ascii="Gill Sans" w:hAnsi="Gill Sans" w:eastAsia="Gill Sans" w:cs="Gill Sans"/>
          <w:b/>
          <w:color w:val="002060"/>
          <w:sz w:val="22"/>
          <w:szCs w:val="22"/>
        </w:rPr>
      </w:pPr>
      <w:r>
        <w:rPr>
          <w:rFonts w:eastAsia="Gill Sans" w:cs="Gill Sans" w:ascii="Gill Sans" w:hAnsi="Gill Sans"/>
          <w:b/>
          <w:color w:val="002060"/>
          <w:sz w:val="22"/>
          <w:szCs w:val="22"/>
        </w:rPr>
        <w:t>LECTURAS POR SESIÓN</w:t>
      </w:r>
    </w:p>
    <w:p>
      <w:pPr>
        <w:pStyle w:val="Normal"/>
        <w:numPr>
          <w:ilvl w:val="0"/>
          <w:numId w:val="0"/>
        </w:numPr>
        <w:ind w:hanging="0" w:start="142"/>
        <w:rPr>
          <w:rFonts w:ascii="Gill Sans" w:hAnsi="Gill Sans"/>
          <w:sz w:val="22"/>
          <w:szCs w:val="22"/>
        </w:rPr>
      </w:pPr>
      <w:r>
        <w:rPr>
          <w:rFonts w:ascii="Gill Sans" w:hAnsi="Gill Sans"/>
          <w:sz w:val="22"/>
          <w:szCs w:val="22"/>
        </w:rPr>
      </w:r>
    </w:p>
    <w:tbl>
      <w:tblPr>
        <w:tblW w:w="9026" w:type="dxa"/>
        <w:jc w:val="start"/>
        <w:tblInd w:w="0" w:type="dxa"/>
        <w:tblLayout w:type="fixed"/>
        <w:tblCellMar>
          <w:top w:w="50" w:type="dxa"/>
          <w:start w:w="80" w:type="dxa"/>
          <w:bottom w:w="50" w:type="dxa"/>
          <w:end w:w="80" w:type="dxa"/>
        </w:tblCellMar>
      </w:tblPr>
      <w:tblGrid>
        <w:gridCol w:w="549"/>
        <w:gridCol w:w="2477"/>
        <w:gridCol w:w="6000"/>
      </w:tblGrid>
      <w:tr>
        <w:trPr/>
        <w:tc>
          <w:tcPr>
            <w:tcW w:w="549"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30"/>
              <w:jc w:val="center"/>
              <w:rPr/>
            </w:pPr>
            <w:r>
              <w:rPr>
                <w:rFonts w:eastAsia="Arial" w:cs="Arial" w:ascii="Arial" w:hAnsi="Arial"/>
                <w:b/>
                <w:bCs/>
                <w:sz w:val="20"/>
                <w:szCs w:val="20"/>
              </w:rPr>
              <w:t>Sem.</w:t>
            </w:r>
          </w:p>
        </w:tc>
        <w:tc>
          <w:tcPr>
            <w:tcW w:w="2477"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30"/>
              <w:rPr/>
            </w:pPr>
            <w:r>
              <w:rPr>
                <w:rFonts w:eastAsia="Arial" w:cs="Arial" w:ascii="Arial" w:hAnsi="Arial"/>
                <w:b/>
                <w:bCs/>
                <w:sz w:val="20"/>
                <w:szCs w:val="20"/>
              </w:rPr>
              <w:t>Tema</w:t>
            </w:r>
          </w:p>
        </w:tc>
        <w:tc>
          <w:tcPr>
            <w:tcW w:w="6000" w:type="dxa"/>
            <w:tcBorders>
              <w:top w:val="single" w:sz="2" w:space="0" w:color="999999"/>
              <w:start w:val="single" w:sz="2" w:space="0" w:color="999999"/>
              <w:bottom w:val="single" w:sz="2" w:space="0" w:color="999999"/>
              <w:end w:val="single" w:sz="2" w:space="0" w:color="999999"/>
            </w:tcBorders>
            <w:shd w:fill="D9E2F3" w:val="clear"/>
          </w:tcPr>
          <w:p>
            <w:pPr>
              <w:pStyle w:val="Normal"/>
              <w:spacing w:before="0" w:after="50"/>
              <w:rPr/>
            </w:pPr>
            <w:r>
              <w:rPr>
                <w:rFonts w:eastAsia="Arial" w:cs="Arial" w:ascii="Arial" w:hAnsi="Arial"/>
                <w:b/>
                <w:bCs/>
                <w:sz w:val="20"/>
                <w:szCs w:val="20"/>
              </w:rPr>
              <w:t>Lecturas</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1</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w:t>
            </w:r>
          </w:p>
          <w:p>
            <w:pPr>
              <w:pStyle w:val="Normal"/>
              <w:spacing w:before="0" w:after="30"/>
              <w:rPr/>
            </w:pPr>
            <w:r>
              <w:rPr>
                <w:rFonts w:eastAsia="Arial" w:cs="Arial" w:ascii="Arial" w:hAnsi="Arial"/>
                <w:sz w:val="20"/>
                <w:szCs w:val="20"/>
              </w:rPr>
              <w:t>La reforma de los procesos laborales en América Latina.</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Cappelletti, M. (1979). Acceso a la justicia: conclusión de un proyecto internacional de investigación jurídico-sociológica. </w:t>
            </w:r>
            <w:r>
              <w:rPr>
                <w:rFonts w:eastAsia="Arial" w:cs="Arial" w:ascii="Arial" w:hAnsi="Arial"/>
                <w:sz w:val="20"/>
                <w:szCs w:val="20"/>
              </w:rPr>
              <w:t>Il Foro Italiano.</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 xml:space="preserve">Paredes Palacios, P. (2012). La oralidad como herramienta para el acceso a la justicia en el nuevo proceso laboral peruano. </w:t>
            </w:r>
            <w:r>
              <w:rPr>
                <w:rFonts w:eastAsia="Arial" w:cs="Arial" w:ascii="Arial" w:hAnsi="Arial"/>
                <w:sz w:val="20"/>
                <w:szCs w:val="20"/>
              </w:rPr>
              <w:t>V Congreso Nacional SPDTSS.</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2</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w:t>
            </w:r>
          </w:p>
          <w:p>
            <w:pPr>
              <w:pStyle w:val="Normal"/>
              <w:spacing w:before="0" w:after="30"/>
              <w:rPr/>
            </w:pPr>
            <w:r>
              <w:rPr>
                <w:rFonts w:eastAsia="Arial" w:cs="Arial" w:ascii="Arial" w:hAnsi="Arial"/>
                <w:sz w:val="20"/>
                <w:szCs w:val="20"/>
              </w:rPr>
              <w:t>Principios y fundamentos del proceso laboral.</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Paredes Palacios, P. (2011). Formación y fundamentos de la Nueva Ley Procesal del Trabajo.</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 xml:space="preserve">Pasco Cosmópolis, M. (1997). </w:t>
            </w:r>
            <w:r>
              <w:rPr>
                <w:rFonts w:eastAsia="Arial" w:cs="Arial" w:ascii="Arial" w:hAnsi="Arial"/>
                <w:sz w:val="20"/>
                <w:szCs w:val="20"/>
              </w:rPr>
              <w:t>Fundamentos de derecho procesal del trabajo. Aele (cap. sobre principios).</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3</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w:t>
            </w:r>
          </w:p>
          <w:p>
            <w:pPr>
              <w:pStyle w:val="Normal"/>
              <w:spacing w:before="0" w:after="30"/>
              <w:rPr/>
            </w:pPr>
            <w:r>
              <w:rPr>
                <w:rFonts w:eastAsia="Arial" w:cs="Arial" w:ascii="Arial" w:hAnsi="Arial"/>
                <w:sz w:val="20"/>
                <w:szCs w:val="20"/>
              </w:rPr>
              <w:t>Poderes de los jueces.</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Nieva Fenoll, J. (2017). La actuación de oficio del Juez Nacional en aplicación del Derecho de la Unión Europea.</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Nieva Fenoll, J. (2014). El mal nombre del principio inquisitivo.</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4</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w:t>
            </w:r>
          </w:p>
          <w:p>
            <w:pPr>
              <w:pStyle w:val="Normal"/>
              <w:spacing w:before="0" w:after="30"/>
              <w:rPr/>
            </w:pPr>
            <w:r>
              <w:rPr>
                <w:rFonts w:eastAsia="Arial" w:cs="Arial" w:ascii="Arial" w:hAnsi="Arial"/>
                <w:sz w:val="20"/>
                <w:szCs w:val="20"/>
              </w:rPr>
              <w:t>Pretensiones en la justicia laboral.</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Paredes Palacios, P. (2025). La pretensión principal única en la Nueva Ley Procesal del Trabajo: origen, conflicto interpretativo y crítica al atomismo procesal. </w:t>
            </w:r>
            <w:r>
              <w:rPr>
                <w:rFonts w:eastAsia="Arial" w:cs="Arial" w:ascii="Arial" w:hAnsi="Arial"/>
                <w:sz w:val="20"/>
                <w:szCs w:val="20"/>
              </w:rPr>
              <w:t>Zenodo.</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 xml:space="preserve">Paredes Palacios, P. (2025). La competencia por materia en el proceso laboral peruano: impacto de la modificación introducida por la Ley 32155. </w:t>
            </w:r>
            <w:r>
              <w:rPr>
                <w:rFonts w:eastAsia="Arial" w:cs="Arial" w:ascii="Arial" w:hAnsi="Arial"/>
                <w:sz w:val="20"/>
                <w:szCs w:val="20"/>
              </w:rPr>
              <w:t>paulparedes.pe.</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5</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w:t>
            </w:r>
          </w:p>
          <w:p>
            <w:pPr>
              <w:pStyle w:val="Normal"/>
              <w:spacing w:before="0" w:after="30"/>
              <w:rPr/>
            </w:pPr>
            <w:r>
              <w:rPr>
                <w:rFonts w:eastAsia="Arial" w:cs="Arial" w:ascii="Arial" w:hAnsi="Arial"/>
                <w:sz w:val="20"/>
                <w:szCs w:val="20"/>
              </w:rPr>
              <w:t>Tipos de procesos (netamente) laborales.</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Priori Posada, G. F. (2011). Comentarios a la Nueva Ley Procesal del Trabajo. </w:t>
            </w:r>
            <w:r>
              <w:rPr>
                <w:rFonts w:eastAsia="Arial" w:cs="Arial" w:ascii="Arial" w:hAnsi="Arial"/>
                <w:sz w:val="20"/>
                <w:szCs w:val="20"/>
              </w:rPr>
              <w:t>ARA Editores (capítulos sobre tipos de procesos).</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Paredes Palacios, P. (2018). Base doctrinal del juzgamiento anticipado.</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6</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w:t>
            </w:r>
          </w:p>
          <w:p>
            <w:pPr>
              <w:pStyle w:val="Normal"/>
              <w:spacing w:before="0" w:after="30"/>
              <w:rPr/>
            </w:pPr>
            <w:r>
              <w:rPr>
                <w:rFonts w:eastAsia="Arial" w:cs="Arial" w:ascii="Arial" w:hAnsi="Arial"/>
                <w:sz w:val="20"/>
                <w:szCs w:val="20"/>
              </w:rPr>
              <w:t>Otros tipos de proceso: contencioso administrativo y amparo.</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Paredes Palacios, P. (2010). La Nueva Ley Procesal del Trabajo y la acción de amparo en materia laboral. </w:t>
            </w:r>
            <w:r>
              <w:rPr>
                <w:rFonts w:eastAsia="Arial" w:cs="Arial" w:ascii="Arial" w:hAnsi="Arial"/>
                <w:sz w:val="20"/>
                <w:szCs w:val="20"/>
              </w:rPr>
              <w:t>En Doctrina y análisis sobre la NLPT. Academia de la Magistratura, pp. 117-170.</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 xml:space="preserve">Paredes Palacios, P. (2011). El Tribunal de Servicio Civil enfrentado a la necesidad de regulación de la vía previa, los precedentes del TC y la NLPT. </w:t>
            </w:r>
            <w:r>
              <w:rPr>
                <w:rFonts w:eastAsia="Arial" w:cs="Arial" w:ascii="Arial" w:hAnsi="Arial"/>
                <w:sz w:val="20"/>
                <w:szCs w:val="20"/>
              </w:rPr>
              <w:t>Ius et veritas, 42, pp. 250-260.</w:t>
            </w:r>
          </w:p>
          <w:p>
            <w:pPr>
              <w:pStyle w:val="Normal"/>
              <w:spacing w:before="0" w:after="50"/>
              <w:rPr/>
            </w:pPr>
            <w:r>
              <w:rPr>
                <w:rFonts w:eastAsia="Arial" w:cs="Arial" w:ascii="Arial" w:hAnsi="Arial"/>
                <w:b/>
                <w:bCs/>
                <w:sz w:val="20"/>
                <w:szCs w:val="20"/>
              </w:rPr>
              <w:t xml:space="preserve">Complementaria: </w:t>
            </w:r>
            <w:r>
              <w:rPr>
                <w:rFonts w:eastAsia="Arial" w:cs="Arial" w:ascii="Arial" w:hAnsi="Arial"/>
                <w:i/>
                <w:iCs/>
                <w:sz w:val="20"/>
                <w:szCs w:val="20"/>
              </w:rPr>
              <w:t xml:space="preserve">Arce Ortiz, E. G. (2012). La tutela laboral de los derechos fundamentales del trabajador. Una asignatura pendiente en tiempos de reforma. </w:t>
            </w:r>
            <w:r>
              <w:rPr>
                <w:rFonts w:eastAsia="Arial" w:cs="Arial" w:ascii="Arial" w:hAnsi="Arial"/>
                <w:sz w:val="20"/>
                <w:szCs w:val="20"/>
              </w:rPr>
              <w:t>Derecho PUCP.</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7</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w:t>
            </w:r>
          </w:p>
          <w:p>
            <w:pPr>
              <w:pStyle w:val="Normal"/>
              <w:spacing w:before="0" w:after="30"/>
              <w:rPr/>
            </w:pPr>
            <w:r>
              <w:rPr>
                <w:rFonts w:eastAsia="Arial" w:cs="Arial" w:ascii="Arial" w:hAnsi="Arial"/>
                <w:sz w:val="20"/>
                <w:szCs w:val="20"/>
              </w:rPr>
              <w:t>Actos procesales: demanda, contestación y sentencia.</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Paredes Palacios, P. (2020). El reto de los procesos (laborales) orales ante las medidas sanitarias de distanciamiento social: Hacia una justicia en línea. </w:t>
            </w:r>
            <w:r>
              <w:rPr>
                <w:rFonts w:eastAsia="Arial" w:cs="Arial" w:ascii="Arial" w:hAnsi="Arial"/>
                <w:sz w:val="20"/>
                <w:szCs w:val="20"/>
              </w:rPr>
              <w:t>paulparedes.pe.</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Paredes Palacios, P. (2012). La oralidad en el nuevo proceso laboral peruano y el acceso a la justicia (al sistema jurídico laboral).</w:t>
            </w:r>
          </w:p>
          <w:p>
            <w:pPr>
              <w:pStyle w:val="Normal"/>
              <w:spacing w:before="0" w:after="50"/>
              <w:rPr/>
            </w:pPr>
            <w:r>
              <w:rPr>
                <w:rFonts w:eastAsia="Arial" w:cs="Arial" w:ascii="Arial" w:hAnsi="Arial"/>
                <w:b/>
                <w:bCs/>
                <w:sz w:val="20"/>
                <w:szCs w:val="20"/>
              </w:rPr>
              <w:t xml:space="preserve">Complementaria: </w:t>
            </w:r>
            <w:r>
              <w:rPr>
                <w:rFonts w:eastAsia="Arial" w:cs="Arial" w:ascii="Arial" w:hAnsi="Arial"/>
                <w:i/>
                <w:iCs/>
                <w:sz w:val="20"/>
                <w:szCs w:val="20"/>
              </w:rPr>
              <w:t>Cappelletti, M. (1960). Valor actual del principio de oralidad.</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8</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w:t>
            </w:r>
          </w:p>
          <w:p>
            <w:pPr>
              <w:pStyle w:val="Normal"/>
              <w:spacing w:before="0" w:after="30"/>
              <w:rPr/>
            </w:pPr>
            <w:r>
              <w:rPr>
                <w:rFonts w:eastAsia="Arial" w:cs="Arial" w:ascii="Arial" w:hAnsi="Arial"/>
                <w:sz w:val="20"/>
                <w:szCs w:val="20"/>
              </w:rPr>
              <w:t>Medios impugnatorios.</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Ariano Deho, E. (2015). Impugnaciones procesales. </w:t>
            </w:r>
            <w:r>
              <w:rPr>
                <w:rFonts w:eastAsia="Arial" w:cs="Arial" w:ascii="Arial" w:hAnsi="Arial"/>
                <w:sz w:val="20"/>
                <w:szCs w:val="20"/>
              </w:rPr>
              <w:t>Instituto Pacífico (capítulos pertinentes).</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 xml:space="preserve">Ariano Deho, E. (2009). Sobre los poderes del juez de apelación. </w:t>
            </w:r>
            <w:r>
              <w:rPr>
                <w:rFonts w:eastAsia="Arial" w:cs="Arial" w:ascii="Arial" w:hAnsi="Arial"/>
                <w:sz w:val="20"/>
                <w:szCs w:val="20"/>
              </w:rPr>
              <w:t>Revista de la Maestría en Derecho Procesal.</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9</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w:t>
            </w:r>
          </w:p>
          <w:p>
            <w:pPr>
              <w:pStyle w:val="Normal"/>
              <w:spacing w:before="0" w:after="30"/>
              <w:rPr/>
            </w:pPr>
            <w:r>
              <w:rPr>
                <w:rFonts w:eastAsia="Arial" w:cs="Arial" w:ascii="Arial" w:hAnsi="Arial"/>
                <w:sz w:val="20"/>
                <w:szCs w:val="20"/>
              </w:rPr>
              <w:t>Casación.</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Taruffo, M. (2017). Las funciones de las cortes supremas entre uniformidad y justicia. </w:t>
            </w:r>
            <w:r>
              <w:rPr>
                <w:rFonts w:eastAsia="Arial" w:cs="Arial" w:ascii="Arial" w:hAnsi="Arial"/>
                <w:sz w:val="20"/>
                <w:szCs w:val="20"/>
              </w:rPr>
              <w:t>Revista de Derecho Yachaq, 8, pp. 20-31.</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 xml:space="preserve">Nieva Fenoll, J. (2015). ¿Un juez supremo o un legislador supremo? </w:t>
            </w:r>
            <w:r>
              <w:rPr>
                <w:rFonts w:eastAsia="Arial" w:cs="Arial" w:ascii="Arial" w:hAnsi="Arial"/>
                <w:sz w:val="20"/>
                <w:szCs w:val="20"/>
              </w:rPr>
              <w:t>En Priori Posada, G. (dir.), Proceso y constitución. Palestra, pp. 173-190.</w:t>
            </w:r>
          </w:p>
          <w:p>
            <w:pPr>
              <w:pStyle w:val="Normal"/>
              <w:spacing w:before="0" w:after="50"/>
              <w:rPr/>
            </w:pPr>
            <w:r>
              <w:rPr>
                <w:rFonts w:eastAsia="Arial" w:cs="Arial" w:ascii="Arial" w:hAnsi="Arial"/>
                <w:b/>
                <w:bCs/>
                <w:sz w:val="20"/>
                <w:szCs w:val="20"/>
              </w:rPr>
              <w:t xml:space="preserve">3. </w:t>
            </w:r>
            <w:r>
              <w:rPr>
                <w:rFonts w:eastAsia="Arial" w:cs="Arial" w:ascii="Arial" w:hAnsi="Arial"/>
                <w:i/>
                <w:iCs/>
                <w:sz w:val="20"/>
                <w:szCs w:val="20"/>
              </w:rPr>
              <w:t xml:space="preserve">Marinoni, L. G. (2012). El precedente en la dimensión de la seguridad jurídica. </w:t>
            </w:r>
            <w:r>
              <w:rPr>
                <w:rFonts w:eastAsia="Arial" w:cs="Arial" w:ascii="Arial" w:hAnsi="Arial"/>
                <w:sz w:val="20"/>
                <w:szCs w:val="20"/>
              </w:rPr>
              <w:t>Revista Ius et Praxis, 18(1), pp. 249-266.</w:t>
            </w:r>
          </w:p>
        </w:tc>
      </w:tr>
      <w:tr>
        <w:trPr/>
        <w:tc>
          <w:tcPr>
            <w:tcW w:w="549"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30"/>
              <w:jc w:val="center"/>
              <w:rPr/>
            </w:pPr>
            <w:r>
              <w:rPr>
                <w:rFonts w:eastAsia="Arial" w:cs="Arial" w:ascii="Arial" w:hAnsi="Arial"/>
                <w:b/>
                <w:bCs/>
                <w:sz w:val="20"/>
                <w:szCs w:val="20"/>
              </w:rPr>
              <w:t>10</w:t>
            </w:r>
          </w:p>
        </w:tc>
        <w:tc>
          <w:tcPr>
            <w:tcW w:w="2477"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30"/>
              <w:rPr/>
            </w:pPr>
            <w:r>
              <w:rPr>
                <w:rFonts w:eastAsia="Arial" w:cs="Arial" w:ascii="Arial" w:hAnsi="Arial"/>
                <w:b/>
                <w:bCs/>
                <w:sz w:val="20"/>
                <w:szCs w:val="20"/>
              </w:rPr>
              <w:t>EXAMEN PARCIAL</w:t>
            </w:r>
          </w:p>
        </w:tc>
        <w:tc>
          <w:tcPr>
            <w:tcW w:w="60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50"/>
              <w:rPr/>
            </w:pPr>
            <w:r>
              <w:rPr>
                <w:rFonts w:eastAsia="Arial" w:cs="Arial" w:ascii="Arial" w:hAnsi="Arial"/>
                <w:i/>
                <w:iCs/>
                <w:sz w:val="20"/>
                <w:szCs w:val="20"/>
              </w:rPr>
              <w:t>Comprende lecturas y contenidos de las semanas 1 a 9.</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11</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III</w:t>
            </w:r>
          </w:p>
          <w:p>
            <w:pPr>
              <w:pStyle w:val="Normal"/>
              <w:spacing w:before="0" w:after="30"/>
              <w:rPr/>
            </w:pPr>
            <w:r>
              <w:rPr>
                <w:rFonts w:eastAsia="Arial" w:cs="Arial" w:ascii="Arial" w:hAnsi="Arial"/>
                <w:sz w:val="20"/>
                <w:szCs w:val="20"/>
              </w:rPr>
              <w:t>Conciliación y arbitraje.</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Aguiló Regla, J. (2015). El arte de la mediación: argumentación, negociación y mediación. </w:t>
            </w:r>
            <w:r>
              <w:rPr>
                <w:rFonts w:eastAsia="Arial" w:cs="Arial" w:ascii="Arial" w:hAnsi="Arial"/>
                <w:sz w:val="20"/>
                <w:szCs w:val="20"/>
              </w:rPr>
              <w:t>Editorial Trotta (capítulos seleccionados).</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12</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III</w:t>
            </w:r>
          </w:p>
          <w:p>
            <w:pPr>
              <w:pStyle w:val="Normal"/>
              <w:spacing w:before="0" w:after="30"/>
              <w:rPr/>
            </w:pPr>
            <w:r>
              <w:rPr>
                <w:rFonts w:eastAsia="Arial" w:cs="Arial" w:ascii="Arial" w:hAnsi="Arial"/>
                <w:sz w:val="20"/>
                <w:szCs w:val="20"/>
              </w:rPr>
              <w:t>Solución de conflictos económicos.</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b w:val="false"/>
                <w:bCs w:val="false"/>
                <w:i/>
                <w:iCs/>
                <w:sz w:val="20"/>
                <w:szCs w:val="20"/>
              </w:rPr>
              <w:t xml:space="preserve">Beltrán Rico, L. (2007, 2009). El arbitramento dentro del contexto de las relaciones de índole laboral. </w:t>
            </w:r>
            <w:r>
              <w:rPr>
                <w:rFonts w:eastAsia="Arial" w:cs="Arial" w:ascii="Arial" w:hAnsi="Arial"/>
                <w:b w:val="false"/>
                <w:bCs w:val="false"/>
                <w:sz w:val="20"/>
                <w:szCs w:val="20"/>
              </w:rPr>
              <w:t>Revista Iberoamericana de Arbitraje y Mediación.</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13</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III</w:t>
            </w:r>
          </w:p>
          <w:p>
            <w:pPr>
              <w:pStyle w:val="Normal"/>
              <w:spacing w:before="0" w:after="30"/>
              <w:rPr/>
            </w:pPr>
            <w:r>
              <w:rPr>
                <w:rFonts w:eastAsia="Arial" w:cs="Arial" w:ascii="Arial" w:hAnsi="Arial"/>
                <w:sz w:val="20"/>
                <w:szCs w:val="20"/>
              </w:rPr>
              <w:t>Participación de los sindicatos en la NLPT.</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Paredes Palacios, P. (2017). ¿Es eficaz el proceso colectivo laboral peruano? </w:t>
            </w:r>
            <w:r>
              <w:rPr>
                <w:rFonts w:eastAsia="Arial" w:cs="Arial" w:ascii="Arial" w:hAnsi="Arial"/>
                <w:sz w:val="20"/>
                <w:szCs w:val="20"/>
              </w:rPr>
              <w:t>En Priori Posada, G. F. (Ed.), Proceso y Constitución. Palestra.</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 xml:space="preserve">Gidi, A. (2004). Las acciones colectivas y la tutela de los derechos difusos, colectivos e individuales en Brasil. </w:t>
            </w:r>
            <w:r>
              <w:rPr>
                <w:rFonts w:eastAsia="Arial" w:cs="Arial" w:ascii="Arial" w:hAnsi="Arial"/>
                <w:sz w:val="20"/>
                <w:szCs w:val="20"/>
              </w:rPr>
              <w:t>UNAM (capítulos seleccionados).</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14</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IV</w:t>
            </w:r>
          </w:p>
          <w:p>
            <w:pPr>
              <w:pStyle w:val="Normal"/>
              <w:spacing w:before="0" w:after="30"/>
              <w:rPr/>
            </w:pPr>
            <w:r>
              <w:rPr>
                <w:rFonts w:eastAsia="Arial" w:cs="Arial" w:ascii="Arial" w:hAnsi="Arial"/>
                <w:sz w:val="20"/>
                <w:szCs w:val="20"/>
              </w:rPr>
              <w:t>Teoría de la prueba. Actuación probatoria y presunciones.</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rFonts w:ascii="Arial" w:hAnsi="Arial"/>
              </w:rPr>
            </w:pPr>
            <w:r>
              <w:rPr>
                <w:rFonts w:eastAsia="Arial" w:cs="Arial" w:ascii="Arial" w:hAnsi="Arial"/>
                <w:b/>
                <w:bCs/>
                <w:sz w:val="20"/>
                <w:szCs w:val="20"/>
              </w:rPr>
              <w:t xml:space="preserve">1. </w:t>
            </w:r>
            <w:r>
              <w:rPr>
                <w:rFonts w:eastAsia="Arial" w:cs="Arial" w:ascii="Arial" w:hAnsi="Arial"/>
                <w:i/>
                <w:iCs/>
                <w:sz w:val="20"/>
                <w:szCs w:val="20"/>
              </w:rPr>
              <w:t xml:space="preserve">Paredes Palacios, P. (1997). Prueba y presunciones en el proceso laboral. </w:t>
            </w:r>
            <w:r>
              <w:rPr>
                <w:rFonts w:eastAsia="Arial" w:cs="Arial" w:ascii="Arial" w:hAnsi="Arial"/>
                <w:sz w:val="20"/>
                <w:szCs w:val="20"/>
              </w:rPr>
              <w:t>ARA Editores (capítulos seleccionados).</w:t>
            </w:r>
          </w:p>
          <w:p>
            <w:pPr>
              <w:pStyle w:val="Normal"/>
              <w:spacing w:before="0" w:after="50"/>
              <w:rPr>
                <w:rFonts w:ascii="Arial" w:hAnsi="Arial"/>
              </w:rPr>
            </w:pPr>
            <w:r>
              <w:rPr>
                <w:rFonts w:eastAsia="Arial" w:cs="Arial" w:ascii="Arial" w:hAnsi="Arial"/>
                <w:b/>
                <w:bCs/>
                <w:sz w:val="20"/>
                <w:szCs w:val="20"/>
              </w:rPr>
              <w:t xml:space="preserve">2. </w:t>
            </w:r>
            <w:r>
              <w:rPr>
                <w:rFonts w:eastAsia="Arial" w:cs="Arial" w:ascii="Arial" w:hAnsi="Arial"/>
                <w:i/>
                <w:iCs/>
                <w:sz w:val="20"/>
                <w:szCs w:val="20"/>
              </w:rPr>
              <w:t xml:space="preserve">Aguiló Regla, J. (2006). Presunciones, verdad y normas procesales. </w:t>
            </w:r>
            <w:r>
              <w:rPr>
                <w:rFonts w:eastAsia="Arial" w:cs="Arial" w:ascii="Arial" w:hAnsi="Arial"/>
                <w:sz w:val="20"/>
                <w:szCs w:val="20"/>
              </w:rPr>
              <w:t>Isegoría: Revista de filosofía moral y política, 35.</w:t>
            </w:r>
          </w:p>
          <w:p>
            <w:pPr>
              <w:pStyle w:val="Normal"/>
              <w:spacing w:before="0" w:after="50"/>
              <w:rPr/>
            </w:pPr>
            <w:r>
              <w:rPr>
                <w:rFonts w:eastAsia="Arial" w:cs="Arial" w:ascii="Arial" w:hAnsi="Arial"/>
                <w:b/>
                <w:bCs/>
                <w:sz w:val="20"/>
                <w:szCs w:val="20"/>
              </w:rPr>
              <w:t xml:space="preserve">3. </w:t>
            </w:r>
            <w:r>
              <w:rPr>
                <w:rFonts w:eastAsia="Gill Sans" w:cs="Gill Sans" w:ascii="Arial" w:hAnsi="Arial"/>
                <w:i/>
                <w:iCs/>
                <w:sz w:val="20"/>
                <w:szCs w:val="20"/>
              </w:rPr>
              <w:t xml:space="preserve">Ullmann-Margalit, E. (1983). On presumption. The Journal of Philosophy, 80(3), 143-163. </w:t>
            </w:r>
            <w:hyperlink r:id="rId3">
              <w:r>
                <w:rPr>
                  <w:rStyle w:val="Hyperlink"/>
                  <w:rFonts w:eastAsia="Gill Sans" w:cs="Gill Sans" w:ascii="Arial" w:hAnsi="Arial"/>
                  <w:i/>
                  <w:iCs/>
                  <w:sz w:val="20"/>
                  <w:szCs w:val="20"/>
                </w:rPr>
                <w:t>https://doi.org/10.2307/2026132</w:t>
              </w:r>
            </w:hyperlink>
          </w:p>
          <w:p>
            <w:pPr>
              <w:pStyle w:val="Normal"/>
              <w:spacing w:before="0" w:after="50"/>
              <w:rPr>
                <w:rFonts w:ascii="Arial" w:hAnsi="Arial" w:eastAsia="Gill Sans" w:cs="Gill Sans"/>
                <w:b/>
                <w:bCs/>
                <w:i w:val="false"/>
                <w:iCs w:val="false"/>
                <w:sz w:val="20"/>
                <w:szCs w:val="20"/>
              </w:rPr>
            </w:pPr>
            <w:r>
              <w:rPr>
                <w:rFonts w:eastAsia="Gill Sans" w:cs="Gill Sans" w:ascii="Arial" w:hAnsi="Arial"/>
                <w:b/>
                <w:bCs/>
                <w:i w:val="false"/>
                <w:iCs w:val="false"/>
                <w:sz w:val="20"/>
                <w:szCs w:val="20"/>
              </w:rPr>
              <w:t xml:space="preserve">4. </w:t>
            </w:r>
            <w:r>
              <w:rPr>
                <w:rFonts w:eastAsia="Gill Sans" w:cs="Gill Sans" w:ascii="Arial" w:hAnsi="Arial"/>
                <w:b w:val="false"/>
                <w:bCs w:val="false"/>
                <w:i/>
                <w:iCs/>
                <w:sz w:val="20"/>
                <w:szCs w:val="20"/>
              </w:rPr>
              <w:t>Goldman, A. I. (1999). Knowledge in a social world. Clarendon Press ; Oxford University Press.</w:t>
            </w:r>
          </w:p>
        </w:tc>
      </w:tr>
      <w:tr>
        <w:trPr/>
        <w:tc>
          <w:tcPr>
            <w:tcW w:w="549" w:type="dxa"/>
            <w:tcBorders>
              <w:top w:val="single" w:sz="2" w:space="0" w:color="999999"/>
              <w:start w:val="single" w:sz="2" w:space="0" w:color="999999"/>
              <w:bottom w:val="single" w:sz="2" w:space="0" w:color="999999"/>
              <w:end w:val="single" w:sz="2" w:space="0" w:color="999999"/>
            </w:tcBorders>
          </w:tcPr>
          <w:p>
            <w:pPr>
              <w:pStyle w:val="Normal"/>
              <w:spacing w:before="0" w:after="30"/>
              <w:jc w:val="center"/>
              <w:rPr/>
            </w:pPr>
            <w:r>
              <w:rPr>
                <w:rFonts w:eastAsia="Arial" w:cs="Arial" w:ascii="Arial" w:hAnsi="Arial"/>
                <w:b/>
                <w:bCs/>
                <w:sz w:val="20"/>
                <w:szCs w:val="20"/>
              </w:rPr>
              <w:t>15</w:t>
            </w:r>
          </w:p>
        </w:tc>
        <w:tc>
          <w:tcPr>
            <w:tcW w:w="2477" w:type="dxa"/>
            <w:tcBorders>
              <w:top w:val="single" w:sz="2" w:space="0" w:color="999999"/>
              <w:start w:val="single" w:sz="2" w:space="0" w:color="999999"/>
              <w:bottom w:val="single" w:sz="2" w:space="0" w:color="999999"/>
              <w:end w:val="single" w:sz="2" w:space="0" w:color="999999"/>
            </w:tcBorders>
          </w:tcPr>
          <w:p>
            <w:pPr>
              <w:pStyle w:val="Normal"/>
              <w:spacing w:before="0" w:after="30"/>
              <w:rPr/>
            </w:pPr>
            <w:r>
              <w:rPr>
                <w:rFonts w:eastAsia="Arial" w:cs="Arial" w:ascii="Arial" w:hAnsi="Arial"/>
                <w:b/>
                <w:bCs/>
                <w:sz w:val="20"/>
                <w:szCs w:val="20"/>
              </w:rPr>
              <w:t>Unidad IV</w:t>
            </w:r>
          </w:p>
          <w:p>
            <w:pPr>
              <w:pStyle w:val="Normal"/>
              <w:spacing w:before="0" w:after="30"/>
              <w:rPr/>
            </w:pPr>
            <w:r>
              <w:rPr>
                <w:rFonts w:eastAsia="Arial" w:cs="Arial" w:ascii="Arial" w:hAnsi="Arial"/>
                <w:sz w:val="20"/>
                <w:szCs w:val="20"/>
              </w:rPr>
              <w:t>Razonamiento probatorio. Teoría del caso (Partes 1 y 2).</w:t>
            </w:r>
          </w:p>
        </w:tc>
        <w:tc>
          <w:tcPr>
            <w:tcW w:w="6000" w:type="dxa"/>
            <w:tcBorders>
              <w:top w:val="single" w:sz="2" w:space="0" w:color="999999"/>
              <w:start w:val="single" w:sz="2" w:space="0" w:color="999999"/>
              <w:bottom w:val="single" w:sz="2" w:space="0" w:color="999999"/>
              <w:end w:val="single" w:sz="2" w:space="0" w:color="999999"/>
            </w:tcBorders>
          </w:tcPr>
          <w:p>
            <w:pPr>
              <w:pStyle w:val="Normal"/>
              <w:spacing w:before="0" w:after="50"/>
              <w:rPr/>
            </w:pPr>
            <w:r>
              <w:rPr>
                <w:rFonts w:eastAsia="Arial" w:cs="Arial" w:ascii="Arial" w:hAnsi="Arial"/>
                <w:b/>
                <w:bCs/>
                <w:sz w:val="20"/>
                <w:szCs w:val="20"/>
              </w:rPr>
              <w:t xml:space="preserve">1. </w:t>
            </w:r>
            <w:r>
              <w:rPr>
                <w:rFonts w:eastAsia="Arial" w:cs="Arial" w:ascii="Arial" w:hAnsi="Arial"/>
                <w:i/>
                <w:iCs/>
                <w:sz w:val="20"/>
                <w:szCs w:val="20"/>
              </w:rPr>
              <w:t xml:space="preserve">Paredes Palacios, P. (2020). El principio de facilitación probatoria en el proceso laboral. </w:t>
            </w:r>
            <w:r>
              <w:rPr>
                <w:rFonts w:eastAsia="Arial" w:cs="Arial" w:ascii="Arial" w:hAnsi="Arial"/>
                <w:sz w:val="20"/>
                <w:szCs w:val="20"/>
              </w:rPr>
              <w:t>En Ferrer Beltrán, J. y Vázquez, C. (Eds.), Del derecho al razonamiento probatorio. Marcial Pons, pp. 77-104.</w:t>
            </w:r>
          </w:p>
          <w:p>
            <w:pPr>
              <w:pStyle w:val="Normal"/>
              <w:spacing w:before="0" w:after="50"/>
              <w:rPr/>
            </w:pPr>
            <w:r>
              <w:rPr>
                <w:rFonts w:eastAsia="Arial" w:cs="Arial" w:ascii="Arial" w:hAnsi="Arial"/>
                <w:b/>
                <w:bCs/>
                <w:sz w:val="20"/>
                <w:szCs w:val="20"/>
              </w:rPr>
              <w:t xml:space="preserve">2. </w:t>
            </w:r>
            <w:r>
              <w:rPr>
                <w:rFonts w:eastAsia="Arial" w:cs="Arial" w:ascii="Arial" w:hAnsi="Arial"/>
                <w:i/>
                <w:iCs/>
                <w:sz w:val="20"/>
                <w:szCs w:val="20"/>
              </w:rPr>
              <w:t>González Lagier, D. (2018). Prueba y argumentación. ¿Es posible formular un estándar de prueba preciso y objetivo?</w:t>
            </w:r>
          </w:p>
          <w:p>
            <w:pPr>
              <w:pStyle w:val="Normal"/>
              <w:spacing w:before="0" w:after="50"/>
              <w:rPr/>
            </w:pPr>
            <w:r>
              <w:rPr>
                <w:rFonts w:eastAsia="Arial" w:cs="Arial" w:ascii="Arial" w:hAnsi="Arial"/>
                <w:b/>
                <w:bCs/>
                <w:sz w:val="20"/>
                <w:szCs w:val="20"/>
              </w:rPr>
              <w:t xml:space="preserve">Complementaria: </w:t>
            </w:r>
            <w:r>
              <w:rPr>
                <w:rFonts w:eastAsia="Arial" w:cs="Arial" w:ascii="Arial" w:hAnsi="Arial"/>
                <w:i/>
                <w:iCs/>
                <w:sz w:val="20"/>
                <w:szCs w:val="20"/>
              </w:rPr>
              <w:t>Anderson, T., Schum, D. y Twining, W. (2015). Análisis de la prueba. Marcial Pons (cap. seleccionados).</w:t>
            </w:r>
          </w:p>
          <w:p>
            <w:pPr>
              <w:pStyle w:val="Normal"/>
              <w:spacing w:before="0" w:after="50"/>
              <w:rPr/>
            </w:pPr>
            <w:r>
              <w:rPr>
                <w:rFonts w:eastAsia="Arial" w:cs="Arial" w:ascii="Arial" w:hAnsi="Arial"/>
                <w:b/>
                <w:bCs/>
                <w:sz w:val="20"/>
                <w:szCs w:val="20"/>
              </w:rPr>
              <w:t xml:space="preserve">Complementaria: </w:t>
            </w:r>
            <w:r>
              <w:rPr>
                <w:rFonts w:eastAsia="Arial" w:cs="Arial" w:ascii="Arial" w:hAnsi="Arial"/>
                <w:i/>
                <w:iCs/>
                <w:sz w:val="20"/>
                <w:szCs w:val="20"/>
              </w:rPr>
              <w:t>Paredes Palacios, P. (2023). El valor probatorio del silencio en contextos de desigualdad material.</w:t>
            </w:r>
          </w:p>
          <w:p>
            <w:pPr>
              <w:pStyle w:val="Normal"/>
              <w:spacing w:before="0" w:after="50"/>
              <w:rPr/>
            </w:pPr>
            <w:r>
              <w:rPr>
                <w:rFonts w:eastAsia="Arial" w:cs="Arial" w:ascii="Arial" w:hAnsi="Arial"/>
                <w:b/>
                <w:bCs/>
                <w:sz w:val="20"/>
                <w:szCs w:val="20"/>
              </w:rPr>
              <w:t xml:space="preserve">Complementaria: </w:t>
            </w:r>
            <w:r>
              <w:rPr>
                <w:rFonts w:eastAsia="Arial" w:cs="Arial" w:ascii="Arial" w:hAnsi="Arial"/>
                <w:i/>
                <w:iCs/>
                <w:sz w:val="20"/>
                <w:szCs w:val="20"/>
              </w:rPr>
              <w:t>Paredes Palacios, P. (2021). El uso de la prueba científica por parte de la Suprema Corte de Justicia de la Nación en materia laboral. En Vázquez Rojas, C. (Ed.), Ciencia y Justicia. SCJN, pp. 187-240.</w:t>
            </w:r>
          </w:p>
        </w:tc>
      </w:tr>
      <w:tr>
        <w:trPr/>
        <w:tc>
          <w:tcPr>
            <w:tcW w:w="549"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30"/>
              <w:jc w:val="center"/>
              <w:rPr/>
            </w:pPr>
            <w:r>
              <w:rPr>
                <w:rFonts w:eastAsia="Arial" w:cs="Arial" w:ascii="Arial" w:hAnsi="Arial"/>
                <w:b/>
                <w:bCs/>
                <w:sz w:val="20"/>
                <w:szCs w:val="20"/>
              </w:rPr>
              <w:t>16</w:t>
            </w:r>
          </w:p>
        </w:tc>
        <w:tc>
          <w:tcPr>
            <w:tcW w:w="2477"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30"/>
              <w:rPr/>
            </w:pPr>
            <w:r>
              <w:rPr>
                <w:rFonts w:eastAsia="Arial" w:cs="Arial" w:ascii="Arial" w:hAnsi="Arial"/>
                <w:b/>
                <w:bCs/>
                <w:sz w:val="20"/>
                <w:szCs w:val="20"/>
              </w:rPr>
              <w:t>EXAMEN FINAL</w:t>
            </w:r>
          </w:p>
        </w:tc>
        <w:tc>
          <w:tcPr>
            <w:tcW w:w="6000" w:type="dxa"/>
            <w:tcBorders>
              <w:top w:val="single" w:sz="2" w:space="0" w:color="999999"/>
              <w:start w:val="single" w:sz="2" w:space="0" w:color="999999"/>
              <w:bottom w:val="single" w:sz="2" w:space="0" w:color="999999"/>
              <w:end w:val="single" w:sz="2" w:space="0" w:color="999999"/>
            </w:tcBorders>
            <w:shd w:fill="FFF2CC" w:val="clear"/>
          </w:tcPr>
          <w:p>
            <w:pPr>
              <w:pStyle w:val="Normal"/>
              <w:spacing w:before="0" w:after="50"/>
              <w:rPr/>
            </w:pPr>
            <w:r>
              <w:rPr>
                <w:rFonts w:eastAsia="Arial" w:cs="Arial" w:ascii="Arial" w:hAnsi="Arial"/>
                <w:i/>
                <w:iCs/>
                <w:sz w:val="20"/>
                <w:szCs w:val="20"/>
              </w:rPr>
              <w:t>Comprende lecturas y contenidos de las semanas 11 a 15.</w:t>
            </w:r>
          </w:p>
        </w:tc>
      </w:tr>
    </w:tbl>
    <w:p>
      <w:pPr>
        <w:pStyle w:val="Normal"/>
        <w:rPr>
          <w:rFonts w:ascii="Gill Sans" w:hAnsi="Gill Sans" w:eastAsia="Gill Sans" w:cs="Gill Sans"/>
          <w:color w:val="4A86E8"/>
          <w:sz w:val="20"/>
          <w:szCs w:val="20"/>
        </w:rPr>
      </w:pPr>
      <w:r>
        <w:rPr>
          <w:rFonts w:eastAsia="Gill Sans" w:cs="Gill Sans" w:ascii="Gill Sans" w:hAnsi="Gill Sans"/>
          <w:color w:val="4A86E8"/>
          <w:sz w:val="20"/>
          <w:szCs w:val="20"/>
        </w:rPr>
      </w:r>
    </w:p>
    <w:p>
      <w:pPr>
        <w:pStyle w:val="Normal"/>
        <w:rPr>
          <w:rFonts w:ascii="Gill Sans" w:hAnsi="Gill Sans" w:eastAsia="Gill Sans" w:cs="Gill Sans"/>
          <w:color w:val="4A86E8"/>
          <w:sz w:val="20"/>
          <w:szCs w:val="20"/>
        </w:rPr>
      </w:pPr>
      <w:r>
        <w:rPr>
          <w:rFonts w:eastAsia="Gill Sans" w:cs="Gill Sans" w:ascii="Gill Sans" w:hAnsi="Gill Sans"/>
          <w:color w:val="4A86E8"/>
          <w:sz w:val="20"/>
          <w:szCs w:val="20"/>
        </w:rPr>
      </w:r>
    </w:p>
    <w:p>
      <w:pPr>
        <w:pStyle w:val="Normal"/>
        <w:numPr>
          <w:ilvl w:val="0"/>
          <w:numId w:val="3"/>
        </w:numPr>
        <w:ind w:hanging="142" w:start="142"/>
        <w:rPr/>
      </w:pPr>
      <w:r>
        <w:rPr>
          <w:rFonts w:eastAsia="Gill Sans" w:cs="Gill Sans" w:ascii="Gill Sans" w:hAnsi="Gill Sans"/>
          <w:b/>
          <w:color w:val="002060"/>
          <w:sz w:val="22"/>
          <w:szCs w:val="22"/>
        </w:rPr>
        <w:t>POLÍTICAS SOBRE EL PLAGIO</w:t>
      </w:r>
    </w:p>
    <w:p>
      <w:pPr>
        <w:pStyle w:val="Normal"/>
        <w:ind w:hanging="720" w:start="720"/>
        <w:rPr>
          <w:rFonts w:ascii="Gill Sans" w:hAnsi="Gill Sans" w:eastAsia="Gill Sans" w:cs="Gill Sans"/>
          <w:b/>
          <w:color w:val="000000"/>
        </w:rPr>
      </w:pPr>
      <w:r>
        <w:rPr>
          <w:rFonts w:eastAsia="Gill Sans" w:cs="Gill Sans" w:ascii="Gill Sans" w:hAnsi="Gill Sans"/>
          <w:b/>
          <w:color w:val="000000"/>
        </w:rPr>
      </w:r>
    </w:p>
    <w:p>
      <w:pPr>
        <w:pStyle w:val="Normal"/>
        <w:ind w:start="141"/>
        <w:jc w:val="both"/>
        <w:rPr/>
      </w:pPr>
      <w:r>
        <w:rPr>
          <w:rFonts w:eastAsia="Gill Sans" w:cs="Gill Sans" w:ascii="Gill Sans" w:hAnsi="Gill Sans"/>
          <w:sz w:val="20"/>
          <w:szCs w:val="20"/>
        </w:rPr>
        <w:t>Para la corrección y evaluación de todos los trabajos del curso se va a tomar en cuenta el debido respeto a los derechos de autor, castigando cualquier indicio de plagio con nota CERO (00). Estas medidas serán independientes del proceso administrativo de sanción que la facultad estime conveniente de acuerdo a cada caso en particular. La información está disponible en las siguientes direcciones electrónicas:</w:t>
      </w:r>
    </w:p>
    <w:p>
      <w:pPr>
        <w:pStyle w:val="Normal"/>
        <w:numPr>
          <w:ilvl w:val="0"/>
          <w:numId w:val="4"/>
        </w:numPr>
        <w:spacing w:before="120" w:after="0"/>
        <w:ind w:hanging="283" w:start="425"/>
        <w:jc w:val="both"/>
        <w:rPr/>
      </w:pPr>
      <w:r>
        <w:rPr>
          <w:rFonts w:eastAsia="Gill Sans" w:cs="Gill Sans" w:ascii="Gill Sans" w:hAnsi="Gill Sans"/>
          <w:b/>
          <w:color w:val="0000FF"/>
          <w:sz w:val="20"/>
          <w:szCs w:val="20"/>
          <w:u w:val="single"/>
        </w:rPr>
        <w:t>http://guiastematicas.biblioteca.pucp.edu.pe/normasapa</w:t>
      </w:r>
    </w:p>
    <w:p>
      <w:pPr>
        <w:pStyle w:val="Normal"/>
        <w:numPr>
          <w:ilvl w:val="0"/>
          <w:numId w:val="4"/>
        </w:numPr>
        <w:spacing w:before="120" w:after="0"/>
        <w:ind w:hanging="283" w:start="425"/>
        <w:jc w:val="both"/>
        <w:rPr/>
      </w:pPr>
      <w:r>
        <w:rPr>
          <w:rFonts w:eastAsia="Gill Sans" w:cs="Gill Sans" w:ascii="Gill Sans" w:hAnsi="Gill Sans"/>
          <w:b/>
          <w:color w:val="0000FF"/>
          <w:sz w:val="20"/>
          <w:szCs w:val="20"/>
          <w:u w:val="single"/>
        </w:rPr>
        <w:t>http://files.pucp.edu.pe/homepucp/uploads/2016/04/29104934/06-Porque-debemos-combatir-el-plagio1.pdf</w:t>
      </w:r>
    </w:p>
    <w:p>
      <w:pPr>
        <w:pStyle w:val="Normal"/>
        <w:spacing w:before="120" w:after="0"/>
        <w:jc w:val="both"/>
        <w:rPr>
          <w:rFonts w:ascii="Gill Sans" w:hAnsi="Gill Sans" w:eastAsia="Gill Sans" w:cs="Gill Sans"/>
          <w:sz w:val="20"/>
          <w:szCs w:val="20"/>
        </w:rPr>
      </w:pPr>
      <w:r>
        <w:rPr>
          <w:rFonts w:eastAsia="Gill Sans" w:cs="Gill Sans" w:ascii="Gill Sans" w:hAnsi="Gill Sans"/>
          <w:sz w:val="20"/>
          <w:szCs w:val="20"/>
        </w:rPr>
      </w:r>
    </w:p>
    <w:p>
      <w:pPr>
        <w:pStyle w:val="Normal"/>
        <w:numPr>
          <w:ilvl w:val="0"/>
          <w:numId w:val="3"/>
        </w:numPr>
        <w:ind w:hanging="142" w:start="142"/>
        <w:rPr/>
      </w:pPr>
      <w:r>
        <w:rPr>
          <w:rFonts w:eastAsia="Gill Sans" w:cs="Gill Sans" w:ascii="Gill Sans" w:hAnsi="Gill Sans"/>
          <w:b/>
          <w:color w:val="002060"/>
          <w:sz w:val="22"/>
          <w:szCs w:val="22"/>
        </w:rPr>
        <w:t>ANEXOS DE DECLARACIÓN JURADA DE TRABAJOS GRUPALES (DE LAS DIRECTIVAS Y NORMAS APROBADAS EN CONSEJO UNIVERSITARIO DEL 7 DE ABRIL DEL 2010)</w:t>
      </w:r>
    </w:p>
    <w:p>
      <w:pPr>
        <w:pStyle w:val="Normal"/>
        <w:rPr>
          <w:rFonts w:ascii="Arial" w:hAnsi="Arial" w:eastAsia="Arial" w:cs="Arial"/>
          <w:sz w:val="20"/>
          <w:szCs w:val="20"/>
        </w:rPr>
      </w:pPr>
      <w:r>
        <w:rPr>
          <w:rFonts w:eastAsia="Arial" w:cs="Arial" w:ascii="Arial" w:hAnsi="Arial"/>
          <w:sz w:val="20"/>
          <w:szCs w:val="20"/>
        </w:rPr>
      </w:r>
    </w:p>
    <w:p>
      <w:pPr>
        <w:pStyle w:val="Normal"/>
        <w:jc w:val="center"/>
        <w:rPr/>
      </w:pPr>
      <w:r>
        <w:rPr>
          <w:rFonts w:eastAsia="Arial" w:cs="Arial" w:ascii="Arial" w:hAnsi="Arial"/>
          <w:b/>
          <w:sz w:val="20"/>
          <w:szCs w:val="20"/>
        </w:rPr>
        <w:t>DIRECTIVA Y NORMAS PARA LA ELABORACIÓN DE TRABAJOS GRUPALES</w:t>
      </w:r>
    </w:p>
    <w:p>
      <w:pPr>
        <w:pStyle w:val="Normal"/>
        <w:jc w:val="center"/>
        <w:rPr/>
      </w:pPr>
      <w:r>
        <w:rPr>
          <w:rFonts w:eastAsia="Arial" w:cs="Arial" w:ascii="Arial" w:hAnsi="Arial"/>
          <w:b/>
          <w:sz w:val="20"/>
          <w:szCs w:val="20"/>
        </w:rPr>
        <w:t>(Aprobado en sesión de Consejo Universitario del 7 de abril del 2010)</w:t>
      </w:r>
    </w:p>
    <w:p>
      <w:pPr>
        <w:pStyle w:val="Normal"/>
        <w:rPr>
          <w:rFonts w:ascii="Arial" w:hAnsi="Arial" w:eastAsia="Arial" w:cs="Arial"/>
          <w:sz w:val="20"/>
          <w:szCs w:val="20"/>
        </w:rPr>
      </w:pPr>
      <w:r>
        <w:rPr>
          <w:rFonts w:eastAsia="Arial" w:cs="Arial" w:ascii="Arial" w:hAnsi="Arial"/>
          <w:sz w:val="20"/>
          <w:szCs w:val="20"/>
        </w:rPr>
      </w:r>
    </w:p>
    <w:p>
      <w:pPr>
        <w:pStyle w:val="Normal"/>
        <w:rPr/>
      </w:pPr>
      <w:r>
        <w:rPr>
          <w:rFonts w:eastAsia="Arial" w:cs="Arial" w:ascii="Arial" w:hAnsi="Arial"/>
          <w:b/>
          <w:sz w:val="20"/>
          <w:szCs w:val="20"/>
        </w:rPr>
        <w:t xml:space="preserve">Sobre el trabajo grupal, conceptos previos </w:t>
      </w:r>
    </w:p>
    <w:p>
      <w:pPr>
        <w:pStyle w:val="Normal"/>
        <w:rPr>
          <w:rFonts w:ascii="Arial" w:hAnsi="Arial" w:eastAsia="Arial" w:cs="Arial"/>
          <w:sz w:val="20"/>
          <w:szCs w:val="20"/>
        </w:rPr>
      </w:pPr>
      <w:r>
        <w:rPr>
          <w:rFonts w:eastAsia="Arial" w:cs="Arial" w:ascii="Arial" w:hAnsi="Arial"/>
          <w:sz w:val="20"/>
          <w:szCs w:val="20"/>
        </w:rPr>
      </w:r>
    </w:p>
    <w:p>
      <w:pPr>
        <w:pStyle w:val="Normal"/>
        <w:jc w:val="both"/>
        <w:rPr/>
      </w:pPr>
      <w:r>
        <w:rPr>
          <w:rFonts w:eastAsia="Arial" w:cs="Arial" w:ascii="Arial" w:hAnsi="Arial"/>
          <w:sz w:val="20"/>
          <w:szCs w:val="20"/>
        </w:rPr>
        <w:t xml:space="preserve">Se entiende por trabajo grupal1 aquella estrategia de enseñanza-aprendizaje diseñada para que una tarea planteada sea emprendida por dos o más alumnos. El objetivo buscado con la tarea puede ser alcanzado de una manera más eficiente y enriquecedora gracias a la colaboración y el aporte de los distintos integrantes del grupo. En estos casos, se entiende que no es posible cumplir con el objetivo pedagógico propuesto recurriendo al trabajo de una sola persona o a la simple sumatoria de trabajos individuales. </w:t>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pPr>
      <w:r>
        <w:rPr>
          <w:rFonts w:eastAsia="Arial" w:cs="Arial" w:ascii="Arial" w:hAnsi="Arial"/>
          <w:sz w:val="20"/>
          <w:szCs w:val="20"/>
        </w:rPr>
        <w:t>Los objetivos que se busca alcanzar al plantear una tarea a ser resuelta por un equipo pueden diferir si los alumnos están o no preparados para trabajar en grupo. Cuando los integrantes del equipo tienen experiencia trabajando en grupo, los objetivos de aprendizaje están centrados, primero, en enriquecer el análisis del problema con las opiniones de los miembros del equipo y, en segundo lugar, en poder emprender una tarea cuya complejidad y estructura hacen muy difícil que pueda ser concluido de manera individual, en forma satisfactoria y en el tiempo designado. Es decir, con personas preparadas para trabajar en equipo, el trabajo grupal es una condición de la tarea y no un objetivo en sí mismo.</w:t>
      </w:r>
    </w:p>
    <w:p>
      <w:pPr>
        <w:pStyle w:val="Normal"/>
        <w:jc w:val="both"/>
        <w:rPr/>
      </w:pPr>
      <w:r>
        <w:rPr>
          <w:rFonts w:eastAsia="Arial" w:cs="Arial" w:ascii="Arial" w:hAnsi="Arial"/>
          <w:sz w:val="20"/>
          <w:szCs w:val="20"/>
        </w:rPr>
        <w:t xml:space="preserve"> </w:t>
      </w:r>
    </w:p>
    <w:p>
      <w:pPr>
        <w:pStyle w:val="Normal"/>
        <w:jc w:val="both"/>
        <w:rPr/>
      </w:pPr>
      <w:r>
        <w:rPr>
          <w:rFonts w:eastAsia="Arial" w:cs="Arial" w:ascii="Arial" w:hAnsi="Arial"/>
          <w:sz w:val="20"/>
          <w:szCs w:val="20"/>
        </w:rPr>
        <w:t xml:space="preserve">Por otro lado, cuando los alumnos no están habituados a trabajar en grupo, el objetivo del trabajo grupal será prepararlos para trabajar en equipo y desarrollar en ellos capacidades como la de planificar y diseñar estrategias en consenso, dividir el trabajo de forma adecuada, elaborar cronogramas específicos, intercambiar ideas e integrarlas en un trabajo final, entre otras. Además, permite reforzar actitudes de responsabilidad, empatía, puntualidad, respeto, solidaridad, ejercicio del pensamiento crítico, entre otros. Este objetivo es también muy importante debido a que la práctica de trabajar en grupo en la Universidad prepara a los alumnos para cuando tengan que desempeñarse en el mundo laboral colaborando con otros profesionales o en equipos. </w:t>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pPr>
      <w:r>
        <w:rPr>
          <w:rFonts w:eastAsia="Arial" w:cs="Arial" w:ascii="Arial" w:hAnsi="Arial"/>
          <w:sz w:val="20"/>
          <w:szCs w:val="20"/>
        </w:rPr>
        <w:t xml:space="preserve">Como puede verse, si los alumnos no tienen la preparación debida para trabajar en equipo y además el curso no está diseñado para formarlos para este tipo de encargo, el trabajo grupal pierde mucha de su potencialidad. En tal sentido, con alumnos no preparados o muy poco preparados, se debe considerar como objetivo del curso, en un primer momento, que ellos alcancen las habilidades para el trabajo en grupo. Una vez que este sea alcanzado, se puede plantear como objetivo subsiguiente la riqueza del análisis grupal y, además, el poder realizar tareas complejas de un trabajo que, en principio, no puede ser desarrollado de manera individual. </w:t>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pPr>
      <w:r>
        <w:rPr>
          <w:rFonts w:eastAsia="Arial" w:cs="Arial" w:ascii="Arial" w:hAnsi="Arial"/>
          <w:sz w:val="20"/>
          <w:szCs w:val="20"/>
        </w:rPr>
        <w:t xml:space="preserve">En el sentido de lo señalado, la inclusión de un trabajo grupal en un curso, cualquiera sea su denominación o nivel, debe obedecer a objetivos claramente establecidos en el sílabo y debe ser diseñado cuidadosamente atendiendo a los criterios pedagógicos arriba expuestos. De este modo, se evitarán casos, lamentablemente constatados, de trabajos grupales injustificados y carentes de seguimiento por parte del docente. </w:t>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pPr>
      <w:r>
        <w:rPr>
          <w:rFonts w:eastAsia="Arial" w:cs="Arial" w:ascii="Arial" w:hAnsi="Arial"/>
          <w:sz w:val="20"/>
          <w:szCs w:val="20"/>
        </w:rPr>
        <w:t xml:space="preserve">Por lo expuesto, el trabajo grupal debe ser promovido cuando permite obtener resultados superiores a los que serían alcanzados en un trabajo individual dada la naturaleza del curso y los plazos, las condiciones y las facilidades establecidas para este.  </w:t>
      </w:r>
    </w:p>
    <w:p>
      <w:pPr>
        <w:pStyle w:val="Normal"/>
        <w:rPr>
          <w:rFonts w:ascii="Arial" w:hAnsi="Arial" w:eastAsia="Arial" w:cs="Arial"/>
          <w:sz w:val="20"/>
          <w:szCs w:val="20"/>
        </w:rPr>
      </w:pPr>
      <w:r>
        <w:rPr>
          <w:rFonts w:eastAsia="Arial" w:cs="Arial" w:ascii="Arial" w:hAnsi="Arial"/>
          <w:sz w:val="20"/>
          <w:szCs w:val="20"/>
        </w:rPr>
      </w:r>
    </w:p>
    <w:p>
      <w:pPr>
        <w:pStyle w:val="Normal"/>
        <w:rPr/>
      </w:pPr>
      <w:r>
        <w:rPr>
          <w:rFonts w:eastAsia="Arial" w:cs="Arial" w:ascii="Arial" w:hAnsi="Arial"/>
          <w:sz w:val="20"/>
          <w:szCs w:val="20"/>
        </w:rPr>
        <w:t xml:space="preserve">1 Nota: El término “trabajo grupal” se entiende equivalente a “trabajo en equipo y a cualquier otra forma de trabajo colaborativo entre estudiantes. </w:t>
      </w:r>
      <w:r>
        <w:br w:type="page"/>
      </w:r>
    </w:p>
    <w:p>
      <w:pPr>
        <w:pStyle w:val="Normal"/>
        <w:spacing w:before="0" w:after="0"/>
        <w:rPr/>
      </w:pPr>
      <w:r>
        <w:rPr>
          <w:rFonts w:eastAsia="Arial" w:cs="Arial" w:ascii="Arial" w:hAnsi="Arial"/>
          <w:b/>
          <w:sz w:val="20"/>
          <w:szCs w:val="20"/>
        </w:rPr>
        <w:t xml:space="preserve">TRABAJOS ESCRITOS GRUPALES </w:t>
      </w:r>
    </w:p>
    <w:p>
      <w:pPr>
        <w:pStyle w:val="Normal"/>
        <w:rPr>
          <w:rFonts w:ascii="Arial" w:hAnsi="Arial" w:eastAsia="Arial" w:cs="Arial"/>
          <w:b/>
          <w:sz w:val="20"/>
          <w:szCs w:val="20"/>
        </w:rPr>
      </w:pPr>
      <w:r>
        <w:rPr>
          <w:rFonts w:eastAsia="Arial" w:cs="Arial" w:ascii="Arial" w:hAnsi="Arial"/>
          <w:b/>
          <w:sz w:val="20"/>
          <w:szCs w:val="20"/>
        </w:rPr>
      </w:r>
    </w:p>
    <w:p>
      <w:pPr>
        <w:pStyle w:val="Normal"/>
        <w:jc w:val="both"/>
        <w:rPr/>
      </w:pPr>
      <w:r>
        <w:rPr>
          <w:rFonts w:eastAsia="Arial" w:cs="Arial" w:ascii="Arial" w:hAnsi="Arial"/>
          <w:sz w:val="20"/>
          <w:szCs w:val="20"/>
        </w:rPr>
        <w:t xml:space="preserve">La presente directiva se aplica a la elaboración de trabajos escritos grupales de pregrado, posgrado y diplomaturas, que son desarrollados dentro o fuera del aula y que, eventualmente, podrían ser expuestos. Ello, sin perjuicio de que se entiende que los trabajos grupales son dinámicas colectivas que pueden tener una expresión oral, escrita o visual. </w:t>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pPr>
      <w:r>
        <w:rPr>
          <w:rFonts w:eastAsia="Arial" w:cs="Arial" w:ascii="Arial" w:hAnsi="Arial"/>
          <w:sz w:val="20"/>
          <w:szCs w:val="20"/>
        </w:rPr>
        <w:t xml:space="preserve">Para que un trabajo grupal sea eficaz debe estar diseñado apropiadamente, tarea que recae en el profesor del curso. En tal sentido, las unidades que impartan asignaturas en pregrado, posgrado y diplomaturas cuidarán de que se cumplan las siguientes normas: </w:t>
      </w:r>
    </w:p>
    <w:p>
      <w:pPr>
        <w:pStyle w:val="Normal"/>
        <w:rPr>
          <w:rFonts w:ascii="Arial" w:hAnsi="Arial" w:eastAsia="Arial" w:cs="Arial"/>
          <w:sz w:val="20"/>
          <w:szCs w:val="20"/>
        </w:rPr>
      </w:pPr>
      <w:r>
        <w:rPr>
          <w:rFonts w:eastAsia="Arial" w:cs="Arial" w:ascii="Arial" w:hAnsi="Arial"/>
          <w:sz w:val="20"/>
          <w:szCs w:val="20"/>
        </w:rPr>
      </w:r>
    </w:p>
    <w:p>
      <w:pPr>
        <w:pStyle w:val="Normal"/>
        <w:numPr>
          <w:ilvl w:val="0"/>
          <w:numId w:val="1"/>
        </w:numPr>
        <w:spacing w:before="0" w:after="10"/>
        <w:ind w:hanging="360" w:start="360"/>
        <w:jc w:val="both"/>
        <w:rPr/>
      </w:pPr>
      <w:r>
        <w:rPr>
          <w:rFonts w:eastAsia="Arial" w:cs="Arial" w:ascii="Arial" w:hAnsi="Arial"/>
          <w:sz w:val="20"/>
          <w:szCs w:val="20"/>
        </w:rPr>
        <w:t xml:space="preserve">La inclusión de uno o más trabajos escritos grupales como parte de un curso debe contar con la aprobación de la autoridad académica de la unidad a la que pertenece el curso o de quien éste designe antes del inicio del semestre académico o del Ciclo de Verano, según corresponda. </w:t>
      </w:r>
    </w:p>
    <w:p>
      <w:pPr>
        <w:pStyle w:val="Normal"/>
        <w:numPr>
          <w:ilvl w:val="0"/>
          <w:numId w:val="1"/>
        </w:numPr>
        <w:spacing w:before="0" w:after="10"/>
        <w:ind w:hanging="360" w:start="360"/>
        <w:jc w:val="both"/>
        <w:rPr/>
      </w:pPr>
      <w:r>
        <w:rPr>
          <w:rFonts w:eastAsia="Arial" w:cs="Arial" w:ascii="Arial" w:hAnsi="Arial"/>
          <w:sz w:val="20"/>
          <w:szCs w:val="20"/>
        </w:rPr>
        <w:t xml:space="preserve">El diseño del trabajo grupal debe asegurar la participación de todos los integrantes del grupo, de forma tal que se garantice que, si uno o más de sus miembros no cumple con el trabajo asignado, entonces todo el equipo se verá afectado. </w:t>
      </w:r>
    </w:p>
    <w:p>
      <w:pPr>
        <w:pStyle w:val="Normal"/>
        <w:numPr>
          <w:ilvl w:val="0"/>
          <w:numId w:val="1"/>
        </w:numPr>
        <w:spacing w:before="0" w:after="10"/>
        <w:ind w:hanging="360" w:start="360"/>
        <w:jc w:val="both"/>
        <w:rPr/>
      </w:pPr>
      <w:r>
        <w:rPr>
          <w:rFonts w:eastAsia="Arial" w:cs="Arial" w:ascii="Arial" w:hAnsi="Arial"/>
          <w:sz w:val="20"/>
          <w:szCs w:val="20"/>
        </w:rPr>
        <w:t xml:space="preserve">El producto de un trabajo colaborativo supone los aportes de cada uno de los integrantes, pero implica más que una simple yuxtaposición de partes elaboradas individualmente, pues requiere de una reflexión de conjunto que evite la construcción desarticulada de los diversos aportes individuales. </w:t>
      </w:r>
    </w:p>
    <w:p>
      <w:pPr>
        <w:pStyle w:val="Normal"/>
        <w:numPr>
          <w:ilvl w:val="0"/>
          <w:numId w:val="1"/>
        </w:numPr>
        <w:spacing w:before="0" w:after="10"/>
        <w:ind w:hanging="360" w:start="360"/>
        <w:jc w:val="both"/>
        <w:rPr/>
      </w:pPr>
      <w:r>
        <w:rPr>
          <w:rFonts w:eastAsia="Arial" w:cs="Arial" w:ascii="Arial" w:hAnsi="Arial"/>
          <w:sz w:val="20"/>
          <w:szCs w:val="20"/>
        </w:rPr>
        <w:t xml:space="preserve">El profesor deberá contar con mecanismos que le permitan evaluar tanto el esfuerzo del equipo como la participación de cada integrante en la elaboración del trabajo grupal. Uno de estos mecanismos puede incluir la entrega de un documento escrito donde los integrantes del grupo especifiquen las funciones y la dedicación de cada uno de ellos, los detalles de la organización del proceso y la metodología de trabajo seguida por el grupo. La presente directiva incluye una propuesta de "Declaración de Trabajo Grupal". </w:t>
      </w:r>
    </w:p>
    <w:p>
      <w:pPr>
        <w:pStyle w:val="Normal"/>
        <w:numPr>
          <w:ilvl w:val="0"/>
          <w:numId w:val="1"/>
        </w:numPr>
        <w:spacing w:before="0" w:after="10"/>
        <w:ind w:hanging="360" w:start="360"/>
        <w:jc w:val="both"/>
        <w:rPr/>
      </w:pPr>
      <w:r>
        <w:rPr>
          <w:rFonts w:eastAsia="Arial" w:cs="Arial" w:ascii="Arial" w:hAnsi="Arial"/>
          <w:sz w:val="20"/>
          <w:szCs w:val="20"/>
        </w:rPr>
        <w:t xml:space="preserve">Los trabajos grupales deben tener evaluaciones intermedias, previas a la entrega final, en las que se constate el trabajo de todos y cada uno de los miembros del grupo. </w:t>
      </w:r>
    </w:p>
    <w:p>
      <w:pPr>
        <w:pStyle w:val="Normal"/>
        <w:numPr>
          <w:ilvl w:val="0"/>
          <w:numId w:val="1"/>
        </w:numPr>
        <w:spacing w:before="0" w:after="10"/>
        <w:ind w:hanging="360" w:start="360"/>
        <w:jc w:val="both"/>
        <w:rPr/>
      </w:pPr>
      <w:r>
        <w:rPr>
          <w:rFonts w:eastAsia="Arial" w:cs="Arial" w:ascii="Arial" w:hAnsi="Arial"/>
          <w:sz w:val="20"/>
          <w:szCs w:val="20"/>
        </w:rPr>
        <w:t xml:space="preserve">La ponderación que se asignará para la calificación final al aporte individual y al esfuerzo grupal debe responder a las características y al objetivo de este. </w:t>
      </w:r>
    </w:p>
    <w:p>
      <w:pPr>
        <w:pStyle w:val="Normal"/>
        <w:numPr>
          <w:ilvl w:val="0"/>
          <w:numId w:val="1"/>
        </w:numPr>
        <w:spacing w:before="0" w:after="10"/>
        <w:ind w:hanging="360" w:start="360"/>
        <w:jc w:val="both"/>
        <w:rPr/>
      </w:pPr>
      <w:r>
        <w:rPr>
          <w:rFonts w:eastAsia="Arial" w:cs="Arial" w:ascii="Arial" w:hAnsi="Arial"/>
          <w:sz w:val="20"/>
          <w:szCs w:val="20"/>
        </w:rPr>
        <w:t xml:space="preserve">El profesor deberá indicar de manera explícita en el sílabo del curso si este tiene uno o más trabajos escritos grupales y el peso que tiene cada uno de estos trabajos en la nota final del curso, cuidando que no exceda de la ponderación de la evaluación individual. </w:t>
      </w:r>
    </w:p>
    <w:p>
      <w:pPr>
        <w:pStyle w:val="Normal"/>
        <w:numPr>
          <w:ilvl w:val="0"/>
          <w:numId w:val="1"/>
        </w:numPr>
        <w:spacing w:before="0" w:after="10"/>
        <w:ind w:hanging="360" w:start="360"/>
        <w:jc w:val="both"/>
        <w:rPr/>
      </w:pPr>
      <w:r>
        <w:rPr>
          <w:rFonts w:eastAsia="Arial" w:cs="Arial" w:ascii="Arial" w:hAnsi="Arial"/>
          <w:sz w:val="20"/>
          <w:szCs w:val="20"/>
        </w:rPr>
        <w:t xml:space="preserve">En caso el curso cuente con uno o más trabajos escritos grupales, el profesor entregará dos documentos anexos al sílabo. En el primero de ellos constará el texto íntegro de la presente directiva. En el segundo, se señalará de forma explícita las características del trabajo o los trabajos escritos grupales a ser desarrollados durante el periodo académico. En este documento se deberá indicar: </w:t>
      </w:r>
    </w:p>
    <w:p>
      <w:pPr>
        <w:pStyle w:val="Normal"/>
        <w:numPr>
          <w:ilvl w:val="0"/>
          <w:numId w:val="2"/>
        </w:numPr>
        <w:spacing w:before="0" w:after="10"/>
        <w:ind w:hanging="360" w:start="1416"/>
        <w:jc w:val="both"/>
        <w:rPr/>
      </w:pPr>
      <w:r>
        <w:rPr>
          <w:rFonts w:eastAsia="Arial" w:cs="Arial" w:ascii="Arial" w:hAnsi="Arial"/>
          <w:sz w:val="20"/>
          <w:szCs w:val="20"/>
        </w:rPr>
        <w:t xml:space="preserve">la metodología involucrada en cada trabajo grupal. </w:t>
      </w:r>
    </w:p>
    <w:p>
      <w:pPr>
        <w:pStyle w:val="Normal"/>
        <w:numPr>
          <w:ilvl w:val="0"/>
          <w:numId w:val="2"/>
        </w:numPr>
        <w:spacing w:before="0" w:after="10"/>
        <w:ind w:hanging="360" w:start="1416"/>
        <w:jc w:val="both"/>
        <w:rPr/>
      </w:pPr>
      <w:r>
        <w:rPr>
          <w:rFonts w:eastAsia="Arial" w:cs="Arial" w:ascii="Arial" w:hAnsi="Arial"/>
          <w:sz w:val="20"/>
          <w:szCs w:val="20"/>
        </w:rPr>
        <w:t xml:space="preserve">el número de integrantes y se recomienda no más de cuatro. </w:t>
      </w:r>
    </w:p>
    <w:p>
      <w:pPr>
        <w:pStyle w:val="Normal"/>
        <w:numPr>
          <w:ilvl w:val="0"/>
          <w:numId w:val="2"/>
        </w:numPr>
        <w:spacing w:before="0" w:after="10"/>
        <w:ind w:hanging="360" w:start="1416"/>
        <w:jc w:val="both"/>
        <w:rPr/>
      </w:pPr>
      <w:r>
        <w:rPr>
          <w:rFonts w:eastAsia="Arial" w:cs="Arial" w:ascii="Arial" w:hAnsi="Arial"/>
          <w:sz w:val="20"/>
          <w:szCs w:val="20"/>
        </w:rPr>
        <w:t xml:space="preserve">los productos a entregar. </w:t>
      </w:r>
    </w:p>
    <w:p>
      <w:pPr>
        <w:pStyle w:val="Normal"/>
        <w:numPr>
          <w:ilvl w:val="0"/>
          <w:numId w:val="2"/>
        </w:numPr>
        <w:spacing w:before="0" w:after="10"/>
        <w:ind w:hanging="360" w:start="1416"/>
        <w:jc w:val="both"/>
        <w:rPr/>
      </w:pPr>
      <w:r>
        <w:rPr>
          <w:rFonts w:eastAsia="Arial" w:cs="Arial" w:ascii="Arial" w:hAnsi="Arial"/>
          <w:sz w:val="20"/>
          <w:szCs w:val="20"/>
        </w:rPr>
        <w:t xml:space="preserve">los cronogramas y plazos de las entregas parciales y del trabajo escrito final. </w:t>
      </w:r>
    </w:p>
    <w:p>
      <w:pPr>
        <w:pStyle w:val="Normal"/>
        <w:numPr>
          <w:ilvl w:val="0"/>
          <w:numId w:val="2"/>
        </w:numPr>
        <w:spacing w:before="0" w:after="10"/>
        <w:ind w:hanging="360" w:start="1416"/>
        <w:jc w:val="both"/>
        <w:rPr/>
      </w:pPr>
      <w:r>
        <w:rPr>
          <w:rFonts w:eastAsia="Arial" w:cs="Arial" w:ascii="Arial" w:hAnsi="Arial"/>
          <w:sz w:val="20"/>
          <w:szCs w:val="20"/>
        </w:rPr>
        <w:t xml:space="preserve">los criterios de evaluación, así como el peso relativo de las entregas parciales en la calificación del trabajo grupal. </w:t>
      </w:r>
    </w:p>
    <w:p>
      <w:pPr>
        <w:pStyle w:val="Normal"/>
        <w:numPr>
          <w:ilvl w:val="0"/>
          <w:numId w:val="2"/>
        </w:numPr>
        <w:spacing w:before="0" w:after="10"/>
        <w:ind w:hanging="360" w:start="1416"/>
        <w:jc w:val="both"/>
        <w:rPr/>
      </w:pPr>
      <w:r>
        <w:rPr>
          <w:rFonts w:eastAsia="Arial" w:cs="Arial" w:ascii="Arial" w:hAnsi="Arial"/>
          <w:sz w:val="20"/>
          <w:szCs w:val="20"/>
        </w:rPr>
        <w:t xml:space="preserve">el tipo de evaluación del trabajo grupal y, de ser el caso, el peso relativo del aporte individual y del esfuerzo grupal en la calificación final del trabajo. </w:t>
      </w:r>
    </w:p>
    <w:p>
      <w:pPr>
        <w:pStyle w:val="Normal"/>
        <w:numPr>
          <w:ilvl w:val="0"/>
          <w:numId w:val="2"/>
        </w:numPr>
        <w:spacing w:before="0" w:after="10"/>
        <w:ind w:hanging="360" w:start="1416"/>
        <w:jc w:val="both"/>
        <w:rPr/>
      </w:pPr>
      <w:r>
        <w:rPr>
          <w:rFonts w:eastAsia="Arial" w:cs="Arial" w:ascii="Arial" w:hAnsi="Arial"/>
          <w:sz w:val="20"/>
          <w:szCs w:val="20"/>
        </w:rPr>
        <w:t xml:space="preserve">el cronograma de asesorías, de ser el caso. </w:t>
      </w:r>
    </w:p>
    <w:p>
      <w:pPr>
        <w:pStyle w:val="Normal"/>
        <w:numPr>
          <w:ilvl w:val="0"/>
          <w:numId w:val="1"/>
        </w:numPr>
        <w:spacing w:before="0" w:after="10"/>
        <w:ind w:hanging="360" w:start="360"/>
        <w:jc w:val="both"/>
        <w:rPr/>
      </w:pPr>
      <w:r>
        <w:rPr>
          <w:rFonts w:eastAsia="Arial" w:cs="Arial" w:ascii="Arial" w:hAnsi="Arial"/>
          <w:sz w:val="20"/>
          <w:szCs w:val="20"/>
        </w:rPr>
        <w:t xml:space="preserve">Como todo trabajo grupal implica un proceso colectivo de elaboración e intercambio intelectual, en caso de plagio o cualquier otra falta dirigida a distorsionar la objetividad de la evaluación académica, se establece que todos y cada uno de los integrantes del grupo asumen la responsabilidad sobre el Integro de los avances y del trabajo final que serán presentados y, por tanto, tienen el mismo grado de responsabilidad. </w:t>
      </w:r>
    </w:p>
    <w:p>
      <w:pPr>
        <w:pStyle w:val="Normal"/>
        <w:numPr>
          <w:ilvl w:val="0"/>
          <w:numId w:val="1"/>
        </w:numPr>
        <w:spacing w:before="0" w:after="10"/>
        <w:ind w:hanging="360" w:start="360"/>
        <w:jc w:val="both"/>
        <w:rPr/>
      </w:pPr>
      <w:r>
        <w:rPr>
          <w:rFonts w:eastAsia="Arial" w:cs="Arial" w:ascii="Arial" w:hAnsi="Arial"/>
          <w:sz w:val="20"/>
          <w:szCs w:val="20"/>
        </w:rPr>
        <w:t xml:space="preserve">En aquellos casos en los que se juzgue pertinente, se podrá designar a un alumno como coordinador del grupo. El coordinador es el vocero del grupo y nexo con el profesor del curso. </w:t>
      </w:r>
    </w:p>
    <w:p>
      <w:pPr>
        <w:pStyle w:val="Normal"/>
        <w:numPr>
          <w:ilvl w:val="0"/>
          <w:numId w:val="1"/>
        </w:numPr>
        <w:ind w:hanging="360" w:start="360"/>
        <w:jc w:val="both"/>
        <w:rPr/>
      </w:pPr>
      <w:r>
        <w:rPr>
          <w:rFonts w:eastAsia="Arial" w:cs="Arial" w:ascii="Arial" w:hAnsi="Arial"/>
          <w:sz w:val="20"/>
          <w:szCs w:val="20"/>
        </w:rPr>
        <w:t xml:space="preserve">La autoridad a la que hace mención el punto 1 de las presentes normas podrá dictar disposiciones especiales u otorgar excepciones cuando la naturaleza de la carrera o de la asignatura así lo exija. </w:t>
      </w:r>
      <w:r>
        <w:br w:type="page"/>
      </w:r>
    </w:p>
    <w:tbl>
      <w:tblPr>
        <w:tblStyle w:val="affffc"/>
        <w:tblW w:w="9821" w:type="dxa"/>
        <w:jc w:val="start"/>
        <w:tblInd w:w="-612" w:type="dxa"/>
        <w:tblLayout w:type="fixed"/>
        <w:tblCellMar>
          <w:top w:w="0" w:type="dxa"/>
          <w:start w:w="108" w:type="dxa"/>
          <w:bottom w:w="0" w:type="dxa"/>
          <w:end w:w="108" w:type="dxa"/>
        </w:tblCellMar>
        <w:tblLook w:val="0400" w:noHBand="0" w:noVBand="1" w:firstColumn="0" w:lastRow="0" w:lastColumn="0" w:firstRow="0"/>
      </w:tblPr>
      <w:tblGrid>
        <w:gridCol w:w="2007"/>
        <w:gridCol w:w="3595"/>
        <w:gridCol w:w="1676"/>
        <w:gridCol w:w="2543"/>
      </w:tblGrid>
      <w:tr>
        <w:trPr>
          <w:trHeight w:val="329" w:hRule="atLeast"/>
        </w:trPr>
        <w:tc>
          <w:tcPr>
            <w:tcW w:w="9821" w:type="dxa"/>
            <w:gridSpan w:val="4"/>
            <w:tcBorders/>
            <w:vAlign w:val="bottom"/>
          </w:tcPr>
          <w:p>
            <w:pPr>
              <w:pStyle w:val="Normal"/>
              <w:pageBreakBefore/>
              <w:spacing w:before="0" w:after="0"/>
              <w:jc w:val="center"/>
              <w:rPr/>
            </w:pPr>
            <w:r>
              <w:rPr>
                <w:rFonts w:eastAsia="Arial" w:cs="Arial" w:ascii="Arial" w:hAnsi="Arial"/>
                <w:i/>
              </w:rPr>
              <w:t>ANEXO</w:t>
            </w:r>
          </w:p>
        </w:tc>
      </w:tr>
      <w:tr>
        <w:trPr>
          <w:trHeight w:val="280" w:hRule="atLeast"/>
        </w:trPr>
        <w:tc>
          <w:tcPr>
            <w:tcW w:w="2007" w:type="dxa"/>
            <w:tcBorders/>
            <w:vAlign w:val="bottom"/>
          </w:tcPr>
          <w:p>
            <w:pPr>
              <w:pStyle w:val="Normal"/>
              <w:rPr>
                <w:rFonts w:ascii="Arial" w:hAnsi="Arial" w:eastAsia="Arial" w:cs="Arial"/>
                <w:i/>
              </w:rPr>
            </w:pPr>
            <w:r>
              <w:rPr>
                <w:rFonts w:eastAsia="Arial" w:cs="Arial" w:ascii="Arial" w:hAnsi="Arial"/>
                <w:i/>
              </w:rPr>
            </w:r>
          </w:p>
        </w:tc>
        <w:tc>
          <w:tcPr>
            <w:tcW w:w="3595"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c>
          <w:tcPr>
            <w:tcW w:w="1676"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c>
          <w:tcPr>
            <w:tcW w:w="2543"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r>
      <w:tr>
        <w:trPr>
          <w:trHeight w:val="346" w:hRule="atLeast"/>
        </w:trPr>
        <w:tc>
          <w:tcPr>
            <w:tcW w:w="9821" w:type="dxa"/>
            <w:gridSpan w:val="4"/>
            <w:tcBorders/>
            <w:vAlign w:val="bottom"/>
          </w:tcPr>
          <w:p>
            <w:pPr>
              <w:pStyle w:val="Normal"/>
              <w:jc w:val="center"/>
              <w:rPr/>
            </w:pPr>
            <w:r>
              <w:rPr>
                <w:rFonts w:eastAsia="Arial" w:cs="Arial" w:ascii="Arial" w:hAnsi="Arial"/>
                <w:b/>
                <w:i/>
              </w:rPr>
              <w:t>Declaración de Trabajo Grupal</w:t>
            </w:r>
          </w:p>
        </w:tc>
      </w:tr>
      <w:tr>
        <w:trPr>
          <w:trHeight w:val="280" w:hRule="atLeast"/>
        </w:trPr>
        <w:tc>
          <w:tcPr>
            <w:tcW w:w="2007" w:type="dxa"/>
            <w:tcBorders/>
            <w:vAlign w:val="bottom"/>
          </w:tcPr>
          <w:p>
            <w:pPr>
              <w:pStyle w:val="Normal"/>
              <w:rPr>
                <w:rFonts w:ascii="Arial" w:hAnsi="Arial" w:eastAsia="Arial" w:cs="Arial"/>
                <w:b/>
                <w:i/>
              </w:rPr>
            </w:pPr>
            <w:r>
              <w:rPr>
                <w:rFonts w:eastAsia="Arial" w:cs="Arial" w:ascii="Arial" w:hAnsi="Arial"/>
                <w:b/>
                <w:i/>
              </w:rPr>
            </w:r>
          </w:p>
        </w:tc>
        <w:tc>
          <w:tcPr>
            <w:tcW w:w="3595"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c>
          <w:tcPr>
            <w:tcW w:w="1676"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c>
          <w:tcPr>
            <w:tcW w:w="2543"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r>
      <w:tr>
        <w:trPr>
          <w:trHeight w:val="395" w:hRule="atLeast"/>
        </w:trPr>
        <w:tc>
          <w:tcPr>
            <w:tcW w:w="200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Arial" w:cs="Arial" w:ascii="Arial" w:hAnsi="Arial"/>
                <w:i/>
              </w:rPr>
              <w:t xml:space="preserve">Unidad académica: </w:t>
            </w:r>
          </w:p>
        </w:tc>
        <w:tc>
          <w:tcPr>
            <w:tcW w:w="3595" w:type="dxa"/>
            <w:tcBorders>
              <w:top w:val="single" w:sz="4" w:space="0" w:color="000000"/>
              <w:bottom w:val="single" w:sz="4" w:space="0" w:color="000000"/>
              <w:end w:val="single" w:sz="4" w:space="0" w:color="000000"/>
            </w:tcBorders>
            <w:vAlign w:val="center"/>
          </w:tcPr>
          <w:p>
            <w:pPr>
              <w:pStyle w:val="Normal"/>
              <w:rPr>
                <w:rFonts w:ascii="Arial" w:hAnsi="Arial" w:eastAsia="Arial" w:cs="Arial"/>
                <w:b/>
              </w:rPr>
            </w:pPr>
            <w:r>
              <w:rPr>
                <w:rFonts w:eastAsia="Arial" w:cs="Arial" w:ascii="Arial" w:hAnsi="Arial"/>
                <w:b/>
              </w:rPr>
            </w:r>
          </w:p>
        </w:tc>
        <w:tc>
          <w:tcPr>
            <w:tcW w:w="1676" w:type="dxa"/>
            <w:tcBorders>
              <w:top w:val="single" w:sz="4" w:space="0" w:color="000000"/>
              <w:bottom w:val="single" w:sz="4" w:space="0" w:color="000000"/>
              <w:end w:val="single" w:sz="4" w:space="0" w:color="000000"/>
            </w:tcBorders>
            <w:vAlign w:val="bottom"/>
          </w:tcPr>
          <w:p>
            <w:pPr>
              <w:pStyle w:val="Normal"/>
              <w:rPr/>
            </w:pPr>
            <w:r>
              <w:rPr>
                <w:rFonts w:eastAsia="Arial" w:cs="Arial" w:ascii="Arial" w:hAnsi="Arial"/>
              </w:rPr>
              <w:t xml:space="preserve">Semestre: </w:t>
            </w:r>
          </w:p>
        </w:tc>
        <w:tc>
          <w:tcPr>
            <w:tcW w:w="2543" w:type="dxa"/>
            <w:tcBorders>
              <w:top w:val="single" w:sz="4" w:space="0" w:color="000000"/>
              <w:bottom w:val="single" w:sz="4" w:space="0" w:color="000000"/>
              <w:end w:val="single" w:sz="4" w:space="0" w:color="000000"/>
            </w:tcBorders>
            <w:vAlign w:val="bottom"/>
          </w:tcPr>
          <w:p>
            <w:pPr>
              <w:pStyle w:val="Normal"/>
              <w:rPr/>
            </w:pPr>
            <w:r>
              <w:rPr>
                <w:rFonts w:eastAsia="Arial" w:cs="Arial" w:ascii="Arial" w:hAnsi="Arial"/>
              </w:rPr>
              <w:t> </w:t>
            </w:r>
          </w:p>
        </w:tc>
      </w:tr>
      <w:tr>
        <w:trPr>
          <w:trHeight w:val="461" w:hRule="atLeast"/>
        </w:trPr>
        <w:tc>
          <w:tcPr>
            <w:tcW w:w="2007" w:type="dxa"/>
            <w:tcBorders>
              <w:start w:val="single" w:sz="4" w:space="0" w:color="000000"/>
              <w:bottom w:val="single" w:sz="4" w:space="0" w:color="000000"/>
              <w:end w:val="single" w:sz="4" w:space="0" w:color="000000"/>
            </w:tcBorders>
            <w:vAlign w:val="center"/>
          </w:tcPr>
          <w:p>
            <w:pPr>
              <w:pStyle w:val="Normal"/>
              <w:rPr/>
            </w:pPr>
            <w:r>
              <w:rPr>
                <w:rFonts w:eastAsia="Arial" w:cs="Arial" w:ascii="Arial" w:hAnsi="Arial"/>
                <w:i/>
              </w:rPr>
              <w:t>Nombre del Curso:</w:t>
            </w:r>
          </w:p>
        </w:tc>
        <w:tc>
          <w:tcPr>
            <w:tcW w:w="3595" w:type="dxa"/>
            <w:tcBorders>
              <w:bottom w:val="single" w:sz="4" w:space="0" w:color="000000"/>
              <w:end w:val="single" w:sz="4" w:space="0" w:color="000000"/>
            </w:tcBorders>
            <w:vAlign w:val="bottom"/>
          </w:tcPr>
          <w:p>
            <w:pPr>
              <w:pStyle w:val="Normal"/>
              <w:rPr/>
            </w:pPr>
            <w:r>
              <w:rPr>
                <w:rFonts w:eastAsia="Arial" w:cs="Arial" w:ascii="Arial" w:hAnsi="Arial"/>
              </w:rPr>
              <w:t> </w:t>
            </w:r>
          </w:p>
        </w:tc>
        <w:tc>
          <w:tcPr>
            <w:tcW w:w="1676" w:type="dxa"/>
            <w:tcBorders>
              <w:bottom w:val="single" w:sz="4" w:space="0" w:color="000000"/>
              <w:end w:val="single" w:sz="4" w:space="0" w:color="000000"/>
            </w:tcBorders>
            <w:vAlign w:val="bottom"/>
          </w:tcPr>
          <w:p>
            <w:pPr>
              <w:pStyle w:val="Normal"/>
              <w:rPr/>
            </w:pPr>
            <w:r>
              <w:rPr>
                <w:rFonts w:eastAsia="Arial" w:cs="Arial" w:ascii="Arial" w:hAnsi="Arial"/>
              </w:rPr>
              <w:t>Clave/Horario:</w:t>
            </w:r>
          </w:p>
        </w:tc>
        <w:tc>
          <w:tcPr>
            <w:tcW w:w="2543" w:type="dxa"/>
            <w:tcBorders>
              <w:bottom w:val="single" w:sz="4" w:space="0" w:color="000000"/>
              <w:end w:val="single" w:sz="4" w:space="0" w:color="000000"/>
            </w:tcBorders>
            <w:vAlign w:val="bottom"/>
          </w:tcPr>
          <w:p>
            <w:pPr>
              <w:pStyle w:val="Normal"/>
              <w:rPr/>
            </w:pPr>
            <w:r>
              <w:rPr>
                <w:rFonts w:eastAsia="Arial" w:cs="Arial" w:ascii="Arial" w:hAnsi="Arial"/>
              </w:rPr>
              <w:t> </w:t>
            </w:r>
          </w:p>
        </w:tc>
      </w:tr>
      <w:tr>
        <w:trPr>
          <w:trHeight w:val="510" w:hRule="atLeast"/>
        </w:trPr>
        <w:tc>
          <w:tcPr>
            <w:tcW w:w="2007" w:type="dxa"/>
            <w:tcBorders>
              <w:start w:val="single" w:sz="4" w:space="0" w:color="000000"/>
              <w:bottom w:val="single" w:sz="4" w:space="0" w:color="000000"/>
              <w:end w:val="single" w:sz="4" w:space="0" w:color="000000"/>
            </w:tcBorders>
            <w:vAlign w:val="center"/>
          </w:tcPr>
          <w:p>
            <w:pPr>
              <w:pStyle w:val="Normal"/>
              <w:rPr/>
            </w:pPr>
            <w:r>
              <w:rPr>
                <w:rFonts w:eastAsia="Arial" w:cs="Arial" w:ascii="Arial" w:hAnsi="Arial"/>
                <w:i/>
              </w:rPr>
              <w:t>Nombre del profesor:</w:t>
            </w:r>
          </w:p>
        </w:tc>
        <w:tc>
          <w:tcPr>
            <w:tcW w:w="3595" w:type="dxa"/>
            <w:tcBorders>
              <w:bottom w:val="single" w:sz="4" w:space="0" w:color="000000"/>
            </w:tcBorders>
            <w:vAlign w:val="bottom"/>
          </w:tcPr>
          <w:p>
            <w:pPr>
              <w:pStyle w:val="Normal"/>
              <w:rPr/>
            </w:pPr>
            <w:r>
              <w:rPr>
                <w:rFonts w:eastAsia="Arial" w:cs="Arial" w:ascii="Arial" w:hAnsi="Arial"/>
              </w:rPr>
              <w:t> </w:t>
            </w:r>
          </w:p>
        </w:tc>
        <w:tc>
          <w:tcPr>
            <w:tcW w:w="1676" w:type="dxa"/>
            <w:tcBorders>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4" w:space="0" w:color="000000"/>
            </w:tcBorders>
            <w:vAlign w:val="bottom"/>
          </w:tcPr>
          <w:p>
            <w:pPr>
              <w:pStyle w:val="Normal"/>
              <w:rPr/>
            </w:pPr>
            <w:r>
              <w:rPr>
                <w:rFonts w:eastAsia="Arial" w:cs="Arial" w:ascii="Arial" w:hAnsi="Arial"/>
              </w:rPr>
              <w:t> </w:t>
            </w:r>
          </w:p>
        </w:tc>
      </w:tr>
      <w:tr>
        <w:trPr>
          <w:trHeight w:val="395" w:hRule="atLeast"/>
        </w:trPr>
        <w:tc>
          <w:tcPr>
            <w:tcW w:w="2007" w:type="dxa"/>
            <w:tcBorders/>
            <w:vAlign w:val="bottom"/>
          </w:tcPr>
          <w:p>
            <w:pPr>
              <w:pStyle w:val="Normal"/>
              <w:rPr>
                <w:rFonts w:ascii="Arial" w:hAnsi="Arial" w:eastAsia="Arial" w:cs="Arial"/>
              </w:rPr>
            </w:pPr>
            <w:r>
              <w:rPr>
                <w:rFonts w:eastAsia="Arial" w:cs="Arial" w:ascii="Arial" w:hAnsi="Arial"/>
              </w:rPr>
            </w:r>
          </w:p>
        </w:tc>
        <w:tc>
          <w:tcPr>
            <w:tcW w:w="3595"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c>
          <w:tcPr>
            <w:tcW w:w="1676"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c>
          <w:tcPr>
            <w:tcW w:w="2543" w:type="dxa"/>
            <w:tcBorders/>
            <w:vAlign w:val="bottom"/>
          </w:tcPr>
          <w:p>
            <w:pPr>
              <w:pStyle w:val="Normal"/>
              <w:rPr>
                <w:rFonts w:ascii="Times New Roman" w:hAnsi="Times New Roman" w:eastAsia="Times New Roman" w:cs="Times New Roman"/>
              </w:rPr>
            </w:pPr>
            <w:r>
              <w:rPr>
                <w:rFonts w:eastAsia="Times New Roman" w:cs="Times New Roman" w:ascii="Times New Roman" w:hAnsi="Times New Roman"/>
              </w:rPr>
            </w:r>
          </w:p>
        </w:tc>
      </w:tr>
      <w:tr>
        <w:trPr>
          <w:trHeight w:val="642" w:hRule="atLeast"/>
        </w:trPr>
        <w:tc>
          <w:tcPr>
            <w:tcW w:w="9821"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i/>
              </w:rPr>
              <w:t>Título del trabajo:</w:t>
            </w:r>
          </w:p>
        </w:tc>
      </w:tr>
      <w:tr>
        <w:trPr>
          <w:trHeight w:val="1236" w:hRule="atLeast"/>
        </w:trPr>
        <w:tc>
          <w:tcPr>
            <w:tcW w:w="9821" w:type="dxa"/>
            <w:gridSpan w:val="4"/>
            <w:tcBorders>
              <w:top w:val="single" w:sz="4" w:space="0" w:color="000000"/>
              <w:start w:val="single" w:sz="4" w:space="0" w:color="000000"/>
              <w:end w:val="single" w:sz="4" w:space="0" w:color="000000"/>
            </w:tcBorders>
          </w:tcPr>
          <w:p>
            <w:pPr>
              <w:pStyle w:val="Normal"/>
              <w:rPr/>
            </w:pPr>
            <w:r>
              <w:rPr>
                <w:rFonts w:eastAsia="Arial" w:cs="Arial" w:ascii="Arial" w:hAnsi="Arial"/>
                <w:i/>
              </w:rPr>
              <w:t>Diseño/planificación del trabajo grupal (definir cronograma de trabajo, etc.)</w:t>
            </w:r>
          </w:p>
        </w:tc>
      </w:tr>
      <w:tr>
        <w:trPr>
          <w:trHeight w:val="313" w:hRule="atLeast"/>
        </w:trPr>
        <w:tc>
          <w:tcPr>
            <w:tcW w:w="5602" w:type="dxa"/>
            <w:gridSpan w:val="2"/>
            <w:tcBorders>
              <w:top w:val="single" w:sz="8" w:space="0" w:color="000000"/>
              <w:start w:val="single" w:sz="8" w:space="0" w:color="000000"/>
              <w:bottom w:val="single" w:sz="8" w:space="0" w:color="000000"/>
              <w:end w:val="single" w:sz="8" w:space="0" w:color="000000"/>
            </w:tcBorders>
            <w:vAlign w:val="bottom"/>
          </w:tcPr>
          <w:p>
            <w:pPr>
              <w:pStyle w:val="Normal"/>
              <w:rPr/>
            </w:pPr>
            <w:r>
              <w:rPr>
                <w:rFonts w:eastAsia="Arial" w:cs="Arial" w:ascii="Arial" w:hAnsi="Arial"/>
                <w:b/>
                <w:i/>
              </w:rPr>
              <w:t>Funciones (compromiso) de cada integrante</w:t>
            </w:r>
          </w:p>
        </w:tc>
        <w:tc>
          <w:tcPr>
            <w:tcW w:w="4219" w:type="dxa"/>
            <w:gridSpan w:val="2"/>
            <w:tcBorders>
              <w:top w:val="single" w:sz="8" w:space="0" w:color="000000"/>
              <w:bottom w:val="single" w:sz="8" w:space="0" w:color="000000"/>
              <w:end w:val="single" w:sz="8" w:space="0" w:color="000000"/>
            </w:tcBorders>
            <w:vAlign w:val="bottom"/>
          </w:tcPr>
          <w:p>
            <w:pPr>
              <w:pStyle w:val="Normal"/>
              <w:jc w:val="center"/>
              <w:rPr/>
            </w:pPr>
            <w:r>
              <w:rPr>
                <w:rFonts w:eastAsia="Arial" w:cs="Arial" w:ascii="Arial" w:hAnsi="Arial"/>
                <w:b/>
              </w:rPr>
              <w:t>Nombre, firma y fecha</w:t>
            </w:r>
          </w:p>
        </w:tc>
      </w:tr>
      <w:tr>
        <w:trPr>
          <w:trHeight w:val="548" w:hRule="atLeast"/>
        </w:trPr>
        <w:tc>
          <w:tcPr>
            <w:tcW w:w="2007" w:type="dxa"/>
            <w:tcBorders>
              <w:start w:val="single" w:sz="8" w:space="0" w:color="000000"/>
              <w:bottom w:val="single" w:sz="4" w:space="0" w:color="000000"/>
            </w:tcBorders>
            <w:vAlign w:val="bottom"/>
          </w:tcPr>
          <w:p>
            <w:pPr>
              <w:pStyle w:val="Normal"/>
              <w:rPr/>
            </w:pPr>
            <w:r>
              <w:rPr>
                <w:rFonts w:eastAsia="Arial" w:cs="Arial" w:ascii="Arial" w:hAnsi="Arial"/>
                <w:i/>
              </w:rPr>
              <w:t> </w:t>
            </w:r>
          </w:p>
        </w:tc>
        <w:tc>
          <w:tcPr>
            <w:tcW w:w="3595" w:type="dxa"/>
            <w:tcBorders>
              <w:bottom w:val="single" w:sz="4"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start w:val="single" w:sz="8" w:space="0" w:color="000000"/>
              <w:bottom w:val="single" w:sz="4" w:space="0" w:color="000000"/>
            </w:tcBorders>
            <w:vAlign w:val="bottom"/>
          </w:tcPr>
          <w:p>
            <w:pPr>
              <w:pStyle w:val="Normal"/>
              <w:rPr/>
            </w:pPr>
            <w:r>
              <w:rPr>
                <w:rFonts w:eastAsia="Arial" w:cs="Arial" w:ascii="Arial" w:hAnsi="Arial"/>
                <w:i/>
              </w:rPr>
              <w:t> </w:t>
            </w:r>
          </w:p>
        </w:tc>
        <w:tc>
          <w:tcPr>
            <w:tcW w:w="3595" w:type="dxa"/>
            <w:tcBorders>
              <w:bottom w:val="single" w:sz="4"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start w:val="single" w:sz="8" w:space="0" w:color="000000"/>
              <w:bottom w:val="single" w:sz="4" w:space="0" w:color="000000"/>
            </w:tcBorders>
            <w:vAlign w:val="bottom"/>
          </w:tcPr>
          <w:p>
            <w:pPr>
              <w:pStyle w:val="Normal"/>
              <w:rPr/>
            </w:pPr>
            <w:r>
              <w:rPr>
                <w:rFonts w:eastAsia="Arial" w:cs="Arial" w:ascii="Arial" w:hAnsi="Arial"/>
                <w:i/>
              </w:rPr>
              <w:t> </w:t>
            </w:r>
          </w:p>
        </w:tc>
        <w:tc>
          <w:tcPr>
            <w:tcW w:w="3595" w:type="dxa"/>
            <w:tcBorders>
              <w:bottom w:val="single" w:sz="4"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start w:val="single" w:sz="8" w:space="0" w:color="000000"/>
              <w:bottom w:val="single" w:sz="8" w:space="0" w:color="000000"/>
            </w:tcBorders>
            <w:vAlign w:val="bottom"/>
          </w:tcPr>
          <w:p>
            <w:pPr>
              <w:pStyle w:val="Normal"/>
              <w:rPr/>
            </w:pPr>
            <w:r>
              <w:rPr>
                <w:rFonts w:eastAsia="Arial" w:cs="Arial" w:ascii="Arial" w:hAnsi="Arial"/>
                <w:i/>
              </w:rPr>
              <w:t> </w:t>
            </w:r>
          </w:p>
        </w:tc>
        <w:tc>
          <w:tcPr>
            <w:tcW w:w="3595" w:type="dxa"/>
            <w:tcBorders>
              <w:bottom w:val="single" w:sz="8"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8" w:space="0" w:color="000000"/>
            </w:tcBorders>
            <w:vAlign w:val="bottom"/>
          </w:tcPr>
          <w:p>
            <w:pPr>
              <w:pStyle w:val="Normal"/>
              <w:rPr/>
            </w:pPr>
            <w:r>
              <w:rPr>
                <w:rFonts w:eastAsia="Arial" w:cs="Arial" w:ascii="Arial" w:hAnsi="Arial"/>
              </w:rPr>
              <w:t> </w:t>
            </w:r>
          </w:p>
        </w:tc>
        <w:tc>
          <w:tcPr>
            <w:tcW w:w="2543" w:type="dxa"/>
            <w:tcBorders>
              <w:bottom w:val="single" w:sz="8"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start w:val="single" w:sz="8" w:space="0" w:color="000000"/>
            </w:tcBorders>
            <w:vAlign w:val="bottom"/>
          </w:tcPr>
          <w:p>
            <w:pPr>
              <w:pStyle w:val="Normal"/>
              <w:rPr/>
            </w:pPr>
            <w:r>
              <w:rPr>
                <w:rFonts w:eastAsia="Arial" w:cs="Arial" w:ascii="Arial" w:hAnsi="Arial"/>
                <w:i/>
              </w:rPr>
              <w:t> </w:t>
            </w:r>
          </w:p>
        </w:tc>
        <w:tc>
          <w:tcPr>
            <w:tcW w:w="3595" w:type="dxa"/>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top w:val="single" w:sz="4" w:space="0" w:color="000000"/>
              <w:start w:val="single" w:sz="8" w:space="0" w:color="000000"/>
              <w:bottom w:val="single" w:sz="4" w:space="0" w:color="000000"/>
            </w:tcBorders>
            <w:vAlign w:val="bottom"/>
          </w:tcPr>
          <w:p>
            <w:pPr>
              <w:pStyle w:val="Normal"/>
              <w:rPr/>
            </w:pPr>
            <w:r>
              <w:rPr>
                <w:rFonts w:eastAsia="Arial" w:cs="Arial" w:ascii="Arial" w:hAnsi="Arial"/>
                <w:i/>
              </w:rPr>
              <w:t> </w:t>
            </w:r>
          </w:p>
        </w:tc>
        <w:tc>
          <w:tcPr>
            <w:tcW w:w="3595" w:type="dxa"/>
            <w:tcBorders>
              <w:top w:val="single" w:sz="4" w:space="0" w:color="000000"/>
              <w:bottom w:val="single" w:sz="4"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start w:val="single" w:sz="8" w:space="0" w:color="000000"/>
              <w:bottom w:val="single" w:sz="4" w:space="0" w:color="000000"/>
            </w:tcBorders>
            <w:vAlign w:val="bottom"/>
          </w:tcPr>
          <w:p>
            <w:pPr>
              <w:pStyle w:val="Normal"/>
              <w:rPr/>
            </w:pPr>
            <w:r>
              <w:rPr>
                <w:rFonts w:eastAsia="Arial" w:cs="Arial" w:ascii="Arial" w:hAnsi="Arial"/>
                <w:i/>
              </w:rPr>
              <w:t> </w:t>
            </w:r>
          </w:p>
        </w:tc>
        <w:tc>
          <w:tcPr>
            <w:tcW w:w="3595" w:type="dxa"/>
            <w:tcBorders>
              <w:bottom w:val="single" w:sz="4"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start w:val="single" w:sz="8" w:space="0" w:color="000000"/>
              <w:bottom w:val="single" w:sz="8" w:space="0" w:color="000000"/>
            </w:tcBorders>
            <w:vAlign w:val="bottom"/>
          </w:tcPr>
          <w:p>
            <w:pPr>
              <w:pStyle w:val="Normal"/>
              <w:rPr/>
            </w:pPr>
            <w:r>
              <w:rPr>
                <w:rFonts w:eastAsia="Arial" w:cs="Arial" w:ascii="Arial" w:hAnsi="Arial"/>
                <w:i/>
              </w:rPr>
              <w:t> </w:t>
            </w:r>
          </w:p>
        </w:tc>
        <w:tc>
          <w:tcPr>
            <w:tcW w:w="3595" w:type="dxa"/>
            <w:tcBorders>
              <w:bottom w:val="single" w:sz="8"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8" w:space="0" w:color="000000"/>
            </w:tcBorders>
            <w:vAlign w:val="bottom"/>
          </w:tcPr>
          <w:p>
            <w:pPr>
              <w:pStyle w:val="Normal"/>
              <w:rPr/>
            </w:pPr>
            <w:r>
              <w:rPr>
                <w:rFonts w:eastAsia="Arial" w:cs="Arial" w:ascii="Arial" w:hAnsi="Arial"/>
              </w:rPr>
              <w:t> </w:t>
            </w:r>
          </w:p>
        </w:tc>
        <w:tc>
          <w:tcPr>
            <w:tcW w:w="2543" w:type="dxa"/>
            <w:tcBorders>
              <w:bottom w:val="single" w:sz="8"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start w:val="single" w:sz="8" w:space="0" w:color="000000"/>
            </w:tcBorders>
            <w:vAlign w:val="bottom"/>
          </w:tcPr>
          <w:p>
            <w:pPr>
              <w:pStyle w:val="Normal"/>
              <w:rPr/>
            </w:pPr>
            <w:r>
              <w:rPr>
                <w:rFonts w:eastAsia="Arial" w:cs="Arial" w:ascii="Arial" w:hAnsi="Arial"/>
                <w:i/>
              </w:rPr>
              <w:t> </w:t>
            </w:r>
          </w:p>
        </w:tc>
        <w:tc>
          <w:tcPr>
            <w:tcW w:w="3595" w:type="dxa"/>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548" w:hRule="atLeast"/>
        </w:trPr>
        <w:tc>
          <w:tcPr>
            <w:tcW w:w="2007" w:type="dxa"/>
            <w:tcBorders>
              <w:top w:val="single" w:sz="4" w:space="0" w:color="000000"/>
              <w:start w:val="single" w:sz="8" w:space="0" w:color="000000"/>
              <w:bottom w:val="single" w:sz="4" w:space="0" w:color="000000"/>
            </w:tcBorders>
            <w:vAlign w:val="bottom"/>
          </w:tcPr>
          <w:p>
            <w:pPr>
              <w:pStyle w:val="Normal"/>
              <w:rPr/>
            </w:pPr>
            <w:r>
              <w:rPr>
                <w:rFonts w:eastAsia="Arial" w:cs="Arial" w:ascii="Arial" w:hAnsi="Arial"/>
                <w:i/>
              </w:rPr>
              <w:t> </w:t>
            </w:r>
          </w:p>
        </w:tc>
        <w:tc>
          <w:tcPr>
            <w:tcW w:w="3595" w:type="dxa"/>
            <w:tcBorders>
              <w:top w:val="single" w:sz="4" w:space="0" w:color="000000"/>
              <w:bottom w:val="single" w:sz="4"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4" w:space="0" w:color="000000"/>
            </w:tcBorders>
            <w:vAlign w:val="bottom"/>
          </w:tcPr>
          <w:p>
            <w:pPr>
              <w:pStyle w:val="Normal"/>
              <w:rPr/>
            </w:pPr>
            <w:r>
              <w:rPr>
                <w:rFonts w:eastAsia="Arial" w:cs="Arial" w:ascii="Arial" w:hAnsi="Arial"/>
              </w:rPr>
              <w:t> </w:t>
            </w:r>
          </w:p>
        </w:tc>
        <w:tc>
          <w:tcPr>
            <w:tcW w:w="2543" w:type="dxa"/>
            <w:tcBorders>
              <w:bottom w:val="single" w:sz="4" w:space="0" w:color="000000"/>
              <w:end w:val="single" w:sz="8" w:space="0" w:color="000000"/>
            </w:tcBorders>
            <w:vAlign w:val="bottom"/>
          </w:tcPr>
          <w:p>
            <w:pPr>
              <w:pStyle w:val="Normal"/>
              <w:rPr/>
            </w:pPr>
            <w:r>
              <w:rPr>
                <w:rFonts w:eastAsia="Arial" w:cs="Arial" w:ascii="Arial" w:hAnsi="Arial"/>
              </w:rPr>
              <w:t> </w:t>
            </w:r>
          </w:p>
        </w:tc>
      </w:tr>
      <w:tr>
        <w:trPr>
          <w:trHeight w:val="642" w:hRule="atLeast"/>
        </w:trPr>
        <w:tc>
          <w:tcPr>
            <w:tcW w:w="2007" w:type="dxa"/>
            <w:tcBorders>
              <w:start w:val="single" w:sz="8" w:space="0" w:color="000000"/>
              <w:bottom w:val="single" w:sz="8" w:space="0" w:color="000000"/>
              <w:end w:val="single" w:sz="8" w:space="0" w:color="000000"/>
            </w:tcBorders>
            <w:vAlign w:val="bottom"/>
          </w:tcPr>
          <w:p>
            <w:pPr>
              <w:pStyle w:val="Normal"/>
              <w:rPr/>
            </w:pPr>
            <w:r>
              <w:rPr>
                <w:rFonts w:eastAsia="Arial" w:cs="Arial" w:ascii="Arial" w:hAnsi="Arial"/>
                <w:i/>
              </w:rPr>
              <w:t>Firma del profesor</w:t>
            </w:r>
          </w:p>
        </w:tc>
        <w:tc>
          <w:tcPr>
            <w:tcW w:w="3595" w:type="dxa"/>
            <w:tcBorders>
              <w:bottom w:val="single" w:sz="8" w:space="0" w:color="000000"/>
            </w:tcBorders>
            <w:vAlign w:val="bottom"/>
          </w:tcPr>
          <w:p>
            <w:pPr>
              <w:pStyle w:val="Normal"/>
              <w:rPr/>
            </w:pPr>
            <w:r>
              <w:rPr>
                <w:rFonts w:eastAsia="Arial" w:cs="Arial" w:ascii="Arial" w:hAnsi="Arial"/>
              </w:rPr>
              <w:t> </w:t>
            </w:r>
          </w:p>
        </w:tc>
        <w:tc>
          <w:tcPr>
            <w:tcW w:w="1676" w:type="dxa"/>
            <w:tcBorders>
              <w:start w:val="single" w:sz="8" w:space="0" w:color="000000"/>
              <w:bottom w:val="single" w:sz="8" w:space="0" w:color="000000"/>
            </w:tcBorders>
            <w:vAlign w:val="bottom"/>
          </w:tcPr>
          <w:p>
            <w:pPr>
              <w:pStyle w:val="Normal"/>
              <w:jc w:val="end"/>
              <w:rPr/>
            </w:pPr>
            <w:r>
              <w:rPr>
                <w:rFonts w:eastAsia="Arial" w:cs="Arial" w:ascii="Arial" w:hAnsi="Arial"/>
              </w:rPr>
              <w:t>Fecha:</w:t>
            </w:r>
          </w:p>
        </w:tc>
        <w:tc>
          <w:tcPr>
            <w:tcW w:w="2543" w:type="dxa"/>
            <w:tcBorders>
              <w:bottom w:val="single" w:sz="8" w:space="0" w:color="000000"/>
              <w:end w:val="single" w:sz="8" w:space="0" w:color="000000"/>
            </w:tcBorders>
            <w:vAlign w:val="bottom"/>
          </w:tcPr>
          <w:p>
            <w:pPr>
              <w:pStyle w:val="Normal"/>
              <w:rPr/>
            </w:pPr>
            <w:r>
              <w:rPr>
                <w:rFonts w:eastAsia="Arial" w:cs="Arial" w:ascii="Arial" w:hAnsi="Arial"/>
              </w:rPr>
              <w:t>______/______/_____</w:t>
            </w:r>
          </w:p>
        </w:tc>
      </w:tr>
    </w:tbl>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center"/>
        <w:rPr>
          <w:rFonts w:ascii="Arial" w:hAnsi="Arial" w:eastAsia="Arial" w:cs="Arial"/>
          <w:sz w:val="20"/>
          <w:szCs w:val="20"/>
        </w:rPr>
      </w:pPr>
      <w:r>
        <w:rPr>
          <w:rFonts w:eastAsia="Arial" w:cs="Arial" w:ascii="Arial" w:hAnsi="Arial"/>
          <w:sz w:val="20"/>
          <w:szCs w:val="20"/>
        </w:rPr>
      </w:r>
    </w:p>
    <w:p>
      <w:pPr>
        <w:pStyle w:val="Normal"/>
        <w:jc w:val="center"/>
        <w:rPr/>
      </w:pPr>
      <w:r>
        <w:rPr>
          <w:rFonts w:eastAsia="Arial" w:cs="Arial" w:ascii="Arial" w:hAnsi="Arial"/>
          <w:sz w:val="20"/>
          <w:szCs w:val="20"/>
        </w:rPr>
        <w:t>ANEXO</w:t>
      </w:r>
    </w:p>
    <w:p>
      <w:pPr>
        <w:pStyle w:val="Normal"/>
        <w:jc w:val="center"/>
        <w:rPr>
          <w:rFonts w:ascii="Arial" w:hAnsi="Arial" w:eastAsia="Arial" w:cs="Arial"/>
          <w:sz w:val="20"/>
          <w:szCs w:val="20"/>
        </w:rPr>
      </w:pPr>
      <w:r>
        <w:rPr>
          <w:rFonts w:eastAsia="Arial" w:cs="Arial" w:ascii="Arial" w:hAnsi="Arial"/>
          <w:sz w:val="20"/>
          <w:szCs w:val="20"/>
        </w:rPr>
      </w:r>
    </w:p>
    <w:p>
      <w:pPr>
        <w:pStyle w:val="Normal"/>
        <w:jc w:val="center"/>
        <w:rPr>
          <w:rFonts w:ascii="Arial" w:hAnsi="Arial" w:eastAsia="Arial" w:cs="Arial"/>
          <w:sz w:val="20"/>
          <w:szCs w:val="20"/>
        </w:rPr>
      </w:pPr>
      <w:r>
        <w:rPr>
          <w:rFonts w:eastAsia="Arial" w:cs="Arial" w:ascii="Arial" w:hAnsi="Arial"/>
          <w:sz w:val="20"/>
          <w:szCs w:val="20"/>
        </w:rPr>
      </w:r>
    </w:p>
    <w:p>
      <w:pPr>
        <w:pStyle w:val="Normal"/>
        <w:ind w:start="-566" w:end="-660"/>
        <w:jc w:val="both"/>
        <w:rPr/>
      </w:pPr>
      <w:r>
        <w:rPr>
          <w:rFonts w:eastAsia="Arial" w:cs="Arial" w:ascii="Arial" w:hAnsi="Arial"/>
          <w:sz w:val="20"/>
          <w:szCs w:val="20"/>
        </w:rPr>
        <w:t>Los miembros del curso tenemos conocimiento del reglamento disciplinario aplicable a los alumnos ordinarios de la Universidad, en particular; de las disposiciones contenidas en él sobre el plagio, y otras formas de distorsión de la objetividad de la evaluación académica. En tal sentido, asumimos todos y cada uno de nosotros la responsabilidad sobre el integro de los avances y el trabajo final que serán presentados.</w:t>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tbl>
      <w:tblPr>
        <w:tblStyle w:val="affffd"/>
        <w:tblW w:w="9600" w:type="dxa"/>
        <w:jc w:val="start"/>
        <w:tblInd w:w="-6" w:type="dxa"/>
        <w:tblLayout w:type="fixed"/>
        <w:tblCellMar>
          <w:top w:w="0" w:type="dxa"/>
          <w:start w:w="108" w:type="dxa"/>
          <w:bottom w:w="0" w:type="dxa"/>
          <w:end w:w="108" w:type="dxa"/>
        </w:tblCellMar>
        <w:tblLook w:val="0000" w:noHBand="0" w:noVBand="0" w:firstColumn="0" w:lastRow="0" w:lastColumn="0" w:firstRow="0"/>
      </w:tblPr>
      <w:tblGrid>
        <w:gridCol w:w="6240"/>
        <w:gridCol w:w="3360"/>
      </w:tblGrid>
      <w:tr>
        <w:trPr/>
        <w:tc>
          <w:tcPr>
            <w:tcW w:w="9600" w:type="dxa"/>
            <w:gridSpan w:val="2"/>
            <w:tcBorders>
              <w:top w:val="single" w:sz="4" w:space="0" w:color="000000"/>
              <w:start w:val="single" w:sz="4" w:space="0" w:color="000000"/>
              <w:bottom w:val="single" w:sz="4" w:space="0" w:color="000000"/>
              <w:end w:val="single" w:sz="4" w:space="0" w:color="000000"/>
            </w:tcBorders>
          </w:tcPr>
          <w:p>
            <w:pPr>
              <w:pStyle w:val="Normal"/>
              <w:ind w:end="572"/>
              <w:jc w:val="both"/>
              <w:rPr/>
            </w:pPr>
            <w:r>
              <w:rPr>
                <w:rFonts w:eastAsia="Arial" w:cs="Arial" w:ascii="Arial" w:hAnsi="Arial"/>
                <w:b/>
                <w:sz w:val="20"/>
                <w:szCs w:val="20"/>
              </w:rPr>
              <w:t>Ejecución del trabajo (definir aportes de cada Integrante)</w:t>
            </w:r>
          </w:p>
        </w:tc>
      </w:tr>
      <w:tr>
        <w:trPr/>
        <w:tc>
          <w:tcPr>
            <w:tcW w:w="624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Arial" w:cs="Arial" w:ascii="Arial" w:hAnsi="Arial"/>
                <w:b/>
                <w:sz w:val="20"/>
                <w:szCs w:val="20"/>
              </w:rPr>
              <w:t>Labor realizada por cada integrante</w:t>
            </w:r>
          </w:p>
        </w:tc>
        <w:tc>
          <w:tcPr>
            <w:tcW w:w="33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w:cs="Arial" w:ascii="Arial" w:hAnsi="Arial"/>
                <w:b/>
                <w:sz w:val="20"/>
                <w:szCs w:val="20"/>
              </w:rPr>
              <w:t>Nombre, firma y fecha</w:t>
            </w:r>
          </w:p>
        </w:tc>
      </w:tr>
      <w:tr>
        <w:trPr/>
        <w:tc>
          <w:tcPr>
            <w:tcW w:w="624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sz w:val="20"/>
                <w:szCs w:val="20"/>
              </w:rPr>
            </w:pPr>
            <w:r>
              <w:rPr>
                <w:rFonts w:eastAsia="Arial" w:cs="Arial" w:ascii="Arial" w:hAnsi="Arial"/>
                <w:sz w:val="20"/>
                <w:szCs w:val="20"/>
              </w:rPr>
            </w:r>
          </w:p>
          <w:p>
            <w:pPr>
              <w:pStyle w:val="Normal"/>
              <w:ind w:hanging="708"/>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tc>
        <w:tc>
          <w:tcPr>
            <w:tcW w:w="336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sz w:val="20"/>
                <w:szCs w:val="20"/>
              </w:rPr>
            </w:pPr>
            <w:r>
              <w:rPr>
                <w:rFonts w:eastAsia="Arial" w:cs="Arial" w:ascii="Arial" w:hAnsi="Arial"/>
                <w:sz w:val="20"/>
                <w:szCs w:val="20"/>
              </w:rPr>
            </w:r>
          </w:p>
        </w:tc>
      </w:tr>
      <w:tr>
        <w:trPr/>
        <w:tc>
          <w:tcPr>
            <w:tcW w:w="624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p>
            <w:pPr>
              <w:pStyle w:val="Normal"/>
              <w:jc w:val="both"/>
              <w:rPr>
                <w:rFonts w:ascii="Arial" w:hAnsi="Arial" w:eastAsia="Arial" w:cs="Arial"/>
                <w:sz w:val="20"/>
                <w:szCs w:val="20"/>
              </w:rPr>
            </w:pPr>
            <w:r>
              <w:rPr>
                <w:rFonts w:eastAsia="Arial" w:cs="Arial" w:ascii="Arial" w:hAnsi="Arial"/>
                <w:sz w:val="20"/>
                <w:szCs w:val="20"/>
              </w:rPr>
            </w:r>
          </w:p>
        </w:tc>
        <w:tc>
          <w:tcPr>
            <w:tcW w:w="336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sz w:val="20"/>
                <w:szCs w:val="20"/>
              </w:rPr>
            </w:pPr>
            <w:r>
              <w:rPr>
                <w:rFonts w:eastAsia="Arial" w:cs="Arial" w:ascii="Arial" w:hAnsi="Arial"/>
                <w:sz w:val="20"/>
                <w:szCs w:val="20"/>
              </w:rPr>
            </w:r>
          </w:p>
        </w:tc>
      </w:tr>
      <w:tr>
        <w:trPr/>
        <w:tc>
          <w:tcPr>
            <w:tcW w:w="624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rPr>
            </w:pPr>
            <w:r>
              <w:rPr>
                <w:rFonts w:eastAsia="Arial" w:cs="Arial" w:ascii="Arial" w:hAnsi="Arial"/>
              </w:rPr>
            </w:r>
          </w:p>
        </w:tc>
        <w:tc>
          <w:tcPr>
            <w:tcW w:w="336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tc>
      </w:tr>
      <w:tr>
        <w:trPr/>
        <w:tc>
          <w:tcPr>
            <w:tcW w:w="624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tc>
        <w:tc>
          <w:tcPr>
            <w:tcW w:w="3360"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eastAsia="Arial" w:cs="Arial"/>
              </w:rPr>
            </w:pPr>
            <w:r>
              <w:rPr>
                <w:rFonts w:eastAsia="Arial" w:cs="Arial" w:ascii="Arial" w:hAnsi="Arial"/>
              </w:rPr>
            </w:r>
          </w:p>
        </w:tc>
      </w:tr>
    </w:tbl>
    <w:p>
      <w:pPr>
        <w:pStyle w:val="Normal"/>
        <w:jc w:val="both"/>
        <w:rPr>
          <w:rFonts w:ascii="Arial" w:hAnsi="Arial" w:eastAsia="Arial" w:cs="Arial"/>
        </w:rPr>
      </w:pPr>
      <w:r>
        <w:rPr>
          <w:rFonts w:eastAsia="Arial" w:cs="Arial" w:ascii="Arial" w:hAnsi="Arial"/>
        </w:rPr>
      </w:r>
    </w:p>
    <w:p>
      <w:pPr>
        <w:pStyle w:val="Normal"/>
        <w:tabs>
          <w:tab w:val="left" w:pos="720" w:leader="none"/>
        </w:tabs>
        <w:jc w:val="both"/>
        <w:rPr>
          <w:rFonts w:ascii="Arial" w:hAnsi="Arial" w:eastAsia="Arial" w:cs="Arial"/>
          <w:sz w:val="20"/>
          <w:szCs w:val="20"/>
        </w:rPr>
      </w:pPr>
      <w:r>
        <w:rPr>
          <w:rFonts w:eastAsia="Arial" w:cs="Arial" w:ascii="Arial" w:hAnsi="Arial"/>
          <w:sz w:val="20"/>
          <w:szCs w:val="20"/>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97" w:right="1797" w:gutter="0" w:header="709" w:top="1440" w:footer="709"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Roman">
    <w:altName w:val="Times New Roman"/>
    <w:charset w:val="01" w:characterSet="utf-8"/>
    <w:family w:val="roman"/>
    <w:pitch w:val="variable"/>
  </w:font>
  <w:font w:name="Gill Sans MT">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Gill Sans">
    <w:charset w:val="01" w:characterSet="utf-8"/>
    <w:family w:val="roman"/>
    <w:pitch w:val="variable"/>
  </w:font>
  <w:font w:name="Gill Sans">
    <w:charset w:val="01"/>
    <w:family w:val="swiss"/>
    <w:pitch w:val="default"/>
  </w:font>
  <w:font w:name="Arial">
    <w:charset w:val="01" w:characterSet="utf-8"/>
    <w:family w:val="roman"/>
    <w:pitch w:val="variable"/>
  </w:font>
  <w:font w:name="Cabin">
    <w:charset w:val="01" w:characterSet="utf-8"/>
    <w:family w:val="roman"/>
    <w:pitch w:val="variable"/>
  </w:font>
  <w:font w:name="Times">
    <w:altName w:val="Times New Roman"/>
    <w:charset w:val="01" w:characterSet="utf-8"/>
    <w:family w:val="roman"/>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320" w:leader="none"/>
        <w:tab w:val="right" w:pos="8640" w:leader="none"/>
      </w:tabs>
      <w:ind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sz w:val="22"/>
        <w:szCs w:val="22"/>
      </w:rPr>
    </w:pPr>
    <w:r>
      <w:rPr>
        <w:rFonts w:eastAsia="Gill Sans" w:cs="Gill Sans" w:ascii="Gill Sans" w:hAnsi="Gill Sans"/>
        <w:color w:val="000000"/>
        <w:sz w:val="20"/>
        <w:szCs w:val="20"/>
      </w:rPr>
      <w:fldChar w:fldCharType="begin"/>
    </w:r>
    <w:r>
      <w:rPr>
        <w:rFonts w:eastAsia="Gill Sans" w:cs="Gill Sans" w:ascii="Gill Sans" w:hAnsi="Gill Sans"/>
        <w:color w:val="000000"/>
        <w:sz w:val="20"/>
        <w:szCs w:val="20"/>
      </w:rPr>
      <w:instrText xml:space="preserve"> PAGE </w:instrText>
    </w:r>
    <w:r>
      <w:rPr>
        <w:rFonts w:eastAsia="Gill Sans" w:cs="Gill Sans" w:ascii="Gill Sans" w:hAnsi="Gill Sans"/>
        <w:color w:val="000000"/>
        <w:sz w:val="20"/>
        <w:szCs w:val="20"/>
      </w:rPr>
      <w:fldChar w:fldCharType="separate"/>
    </w:r>
    <w:r>
      <w:rPr>
        <w:rFonts w:eastAsia="Gill Sans" w:cs="Gill Sans" w:ascii="Gill Sans" w:hAnsi="Gill Sans"/>
        <w:color w:val="000000"/>
        <w:sz w:val="20"/>
        <w:szCs w:val="20"/>
      </w:rPr>
      <w:t>17</w:t>
    </w:r>
    <w:r>
      <w:rPr>
        <w:rFonts w:eastAsia="Gill Sans" w:cs="Gill Sans" w:ascii="Gill Sans" w:hAnsi="Gill Sans"/>
        <w:color w:val="000000"/>
        <w:sz w:val="20"/>
        <w:szCs w:val="20"/>
      </w:rPr>
      <w:fldChar w:fldCharType="end"/>
    </w:r>
  </w:p>
  <w:p>
    <w:pPr>
      <w:pStyle w:val="Normal"/>
      <w:tabs>
        <w:tab w:val="clear" w:pos="720"/>
        <w:tab w:val="center" w:pos="4320" w:leader="none"/>
        <w:tab w:val="right" w:pos="8640" w:leader="none"/>
      </w:tabs>
      <w:rPr>
        <w:rFonts w:ascii="Gill Sans" w:hAnsi="Gill Sans" w:eastAsia="Gill Sans" w:cs="Gill Sans"/>
        <w:color w:val="000000"/>
        <w:sz w:val="20"/>
        <w:szCs w:val="20"/>
      </w:rPr>
    </w:pPr>
    <w:r>
      <w:rPr>
        <w:rFonts w:eastAsia="Gill Sans" w:cs="Gill Sans" w:ascii="Gill Sans" w:hAnsi="Gill San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rFonts w:ascii="Gill Sans" w:hAnsi="Gill Sans" w:eastAsia="Gill Sans" w:cs="Gill Sans"/>
        <w:color w:val="000000"/>
        <w:sz w:val="20"/>
        <w:szCs w:val="20"/>
      </w:rPr>
    </w:pPr>
    <w:r>
      <w:rPr>
        <w:rFonts w:eastAsia="Gill Sans" w:cs="Gill Sans" w:ascii="Gill Sans" w:hAnsi="Gill Sans"/>
        <w:color w:val="000000"/>
        <w:sz w:val="20"/>
        <w:szCs w:val="20"/>
      </w:rPr>
      <w:fldChar w:fldCharType="begin"/>
    </w:r>
    <w:r>
      <w:rPr>
        <w:rFonts w:eastAsia="Gill Sans" w:cs="Gill Sans" w:ascii="Gill Sans" w:hAnsi="Gill Sans"/>
        <w:color w:val="000000"/>
        <w:sz w:val="20"/>
        <w:szCs w:val="20"/>
      </w:rPr>
      <w:instrText xml:space="preserve"> PAGE </w:instrText>
    </w:r>
    <w:r>
      <w:rPr>
        <w:rFonts w:eastAsia="Gill Sans" w:cs="Gill Sans" w:ascii="Gill Sans" w:hAnsi="Gill Sans"/>
        <w:color w:val="000000"/>
        <w:sz w:val="20"/>
        <w:szCs w:val="20"/>
      </w:rPr>
      <w:fldChar w:fldCharType="separate"/>
    </w:r>
    <w:r>
      <w:rPr>
        <w:rFonts w:eastAsia="Gill Sans" w:cs="Gill Sans" w:ascii="Gill Sans" w:hAnsi="Gill Sans"/>
        <w:color w:val="000000"/>
        <w:sz w:val="20"/>
        <w:szCs w:val="20"/>
      </w:rPr>
      <w:t>1</w:t>
    </w:r>
    <w:r>
      <w:rPr>
        <w:rFonts w:eastAsia="Gill Sans" w:cs="Gill Sans" w:ascii="Gill Sans" w:hAnsi="Gill Sans"/>
        <w:color w:val="00000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Cabin" w:hAnsi="Cabin" w:eastAsia="Cabin" w:cs="Cabin"/>
        <w:sz w:val="22"/>
        <w:szCs w:val="22"/>
      </w:rPr>
    </w:pPr>
    <w:r>
      <w:rPr>
        <w:rFonts w:eastAsia="Cabin" w:cs="Cabin" w:ascii="Cabin" w:hAnsi="Cabin"/>
        <w:sz w:val="22"/>
        <w:szCs w:val="22"/>
      </w:rPr>
    </w:r>
  </w:p>
  <w:tbl>
    <w:tblPr>
      <w:tblStyle w:val="afffff"/>
      <w:tblW w:w="8548"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3273"/>
      <w:gridCol w:w="5275"/>
    </w:tblGrid>
    <w:tr>
      <w:trPr>
        <w:trHeight w:val="469" w:hRule="atLeast"/>
      </w:trPr>
      <w:tc>
        <w:tcPr>
          <w:tcW w:w="3273" w:type="dxa"/>
          <w:tcBorders/>
        </w:tcPr>
        <w:p>
          <w:pPr>
            <w:pStyle w:val="Normal"/>
            <w:rPr>
              <w:rFonts w:ascii="Cabin" w:hAnsi="Cabin" w:eastAsia="Cabin" w:cs="Cabin"/>
              <w:sz w:val="14"/>
              <w:szCs w:val="14"/>
            </w:rPr>
          </w:pPr>
          <w:r>
            <w:rPr>
              <w:rFonts w:eastAsia="Cabin" w:cs="Cabin" w:ascii="Cabin" w:hAnsi="Cabin"/>
              <w:sz w:val="14"/>
              <w:szCs w:val="14"/>
            </w:rPr>
          </w:r>
        </w:p>
        <w:p>
          <w:pPr>
            <w:pStyle w:val="Normal"/>
            <w:widowControl w:val="false"/>
            <w:rPr>
              <w:rFonts w:ascii="Gill Sans" w:hAnsi="Gill Sans" w:eastAsia="Gill Sans" w:cs="Gill Sans"/>
              <w:b/>
              <w:color w:val="000000"/>
            </w:rPr>
          </w:pPr>
          <w:r>
            <w:rPr>
              <w:rFonts w:eastAsia="Gill Sans" w:cs="Gill Sans" w:ascii="Gill Sans" w:hAnsi="Gill Sans"/>
              <w:b/>
              <w:color w:val="000000"/>
            </w:rPr>
          </w:r>
        </w:p>
        <w:p>
          <w:pPr>
            <w:pStyle w:val="Normal"/>
            <w:tabs>
              <w:tab w:val="clear" w:pos="720"/>
              <w:tab w:val="center" w:pos="4320" w:leader="none"/>
              <w:tab w:val="right" w:pos="8640" w:leader="none"/>
            </w:tabs>
            <w:rPr>
              <w:b/>
              <w:color w:val="000000"/>
            </w:rPr>
          </w:pPr>
          <w:r>
            <w:rPr>
              <w:b/>
              <w:color w:val="000000"/>
            </w:rPr>
          </w:r>
        </w:p>
      </w:tc>
      <w:tc>
        <w:tcPr>
          <w:tcW w:w="5275" w:type="dxa"/>
          <w:tcBorders/>
        </w:tcPr>
        <w:p>
          <w:pPr>
            <w:pStyle w:val="Normal"/>
            <w:widowControl w:val="false"/>
            <w:spacing w:lineRule="auto" w:line="288"/>
            <w:jc w:val="end"/>
            <w:rPr>
              <w:rFonts w:ascii="Gill Sans" w:hAnsi="Gill Sans" w:eastAsia="Gill Sans" w:cs="Gill Sans"/>
              <w:color w:val="000000"/>
              <w:sz w:val="22"/>
              <w:szCs w:val="22"/>
            </w:rPr>
          </w:pPr>
          <w:r>
            <w:rPr>
              <w:rFonts w:eastAsia="Times" w:cs="Times" w:ascii="Times" w:hAnsi="Times"/>
              <w:color w:val="000000"/>
            </w:rPr>
            <w:t xml:space="preserve">  </w:t>
          </w:r>
          <w:r>
            <w:rPr>
              <w:rFonts w:eastAsia="Gill Sans" w:cs="Gill Sans" w:ascii="Gill Sans" w:hAnsi="Gill Sans"/>
              <w:color w:val="000000"/>
              <w:sz w:val="22"/>
              <w:szCs w:val="22"/>
            </w:rPr>
            <w:t xml:space="preserve"> </w:t>
          </w:r>
          <w:r>
            <w:rPr>
              <w:rFonts w:eastAsia="Gill Sans" w:cs="Gill Sans" w:ascii="Gill Sans" w:hAnsi="Gill Sans"/>
              <w:sz w:val="22"/>
              <w:szCs w:val="22"/>
            </w:rPr>
            <w:t>ESCUELA DE POSGRADO</w:t>
          </w:r>
        </w:p>
        <w:p>
          <w:pPr>
            <w:pStyle w:val="Normal"/>
            <w:widowControl w:val="false"/>
            <w:spacing w:lineRule="auto" w:line="288"/>
            <w:jc w:val="end"/>
            <w:rPr>
              <w:rFonts w:ascii="Gill Sans" w:hAnsi="Gill Sans" w:eastAsia="Gill Sans" w:cs="Gill Sans"/>
              <w:b/>
              <w:color w:val="000000"/>
              <w:sz w:val="22"/>
              <w:szCs w:val="22"/>
            </w:rPr>
          </w:pPr>
          <w:r>
            <w:rPr>
              <w:rFonts w:eastAsia="Gill Sans" w:cs="Gill Sans" w:ascii="Gill Sans" w:hAnsi="Gill Sans"/>
              <w:sz w:val="22"/>
              <w:szCs w:val="22"/>
            </w:rPr>
            <w:t>TSS603</w:t>
          </w:r>
          <w:r>
            <w:rPr>
              <w:rFonts w:eastAsia="Gill Sans" w:cs="Gill Sans" w:ascii="Gill Sans" w:hAnsi="Gill Sans"/>
              <w:b/>
              <w:color w:val="000000"/>
              <w:sz w:val="22"/>
              <w:szCs w:val="22"/>
            </w:rPr>
            <w:t xml:space="preserve"> – </w:t>
          </w:r>
          <w:r>
            <w:rPr>
              <w:rFonts w:eastAsia="Gill Sans" w:cs="Gill Sans" w:ascii="Gill Sans" w:hAnsi="Gill Sans"/>
              <w:b/>
              <w:sz w:val="22"/>
              <w:szCs w:val="22"/>
            </w:rPr>
            <w:t>PROCESOS LABORALES</w:t>
          </w:r>
        </w:p>
      </w:tc>
    </w:tr>
  </w:tbl>
  <w:p>
    <w:pPr>
      <w:pStyle w:val="Normal"/>
      <w:tabs>
        <w:tab w:val="clear" w:pos="720"/>
        <w:tab w:val="center" w:pos="4320" w:leader="none"/>
        <w:tab w:val="right" w:pos="8640"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3402"/>
      <w:gridCol w:w="1100"/>
      <w:gridCol w:w="4570"/>
    </w:tblGrid>
    <w:tr>
      <w:trPr>
        <w:trHeight w:val="998" w:hRule="atLeast"/>
      </w:trPr>
      <w:tc>
        <w:tcPr>
          <w:tcW w:w="3402" w:type="dxa"/>
          <w:tcBorders/>
          <w:shd w:color="auto" w:fill="auto" w:val="clear"/>
        </w:tcPr>
        <w:p>
          <w:pPr>
            <w:pStyle w:val="Normal"/>
            <w:tabs>
              <w:tab w:val="clear" w:pos="720"/>
              <w:tab w:val="center" w:pos="4419" w:leader="none"/>
              <w:tab w:val="left" w:pos="4536" w:leader="none"/>
              <w:tab w:val="right" w:pos="8838" w:leader="none"/>
            </w:tabs>
            <w:ind w:start="-108"/>
            <w:rPr>
              <w:rFonts w:ascii="Gill Sans" w:hAnsi="Gill Sans" w:eastAsia="Gill Sans" w:cs="Gill Sans"/>
              <w:color w:val="042354"/>
              <w:sz w:val="16"/>
              <w:szCs w:val="16"/>
            </w:rPr>
          </w:pPr>
          <w:r>
            <w:rPr>
              <w:rFonts w:eastAsia="Gill Sans" w:cs="Gill Sans" w:ascii="Gill Sans" w:hAnsi="Gill Sans"/>
              <w:color w:val="042354"/>
              <w:sz w:val="16"/>
              <w:szCs w:val="16"/>
            </w:rPr>
            <w:t xml:space="preserve">ESCUELA DE </w:t>
          </w:r>
        </w:p>
        <w:p>
          <w:pPr>
            <w:pStyle w:val="Normal"/>
            <w:tabs>
              <w:tab w:val="clear" w:pos="720"/>
              <w:tab w:val="center" w:pos="4419" w:leader="none"/>
              <w:tab w:val="left" w:pos="4536" w:leader="none"/>
              <w:tab w:val="right" w:pos="8838" w:leader="none"/>
            </w:tabs>
            <w:ind w:start="-108"/>
            <w:rPr>
              <w:rFonts w:ascii="Gill Sans" w:hAnsi="Gill Sans" w:eastAsia="Gill Sans" w:cs="Gill Sans"/>
              <w:b/>
              <w:color w:val="042354"/>
              <w:sz w:val="16"/>
              <w:szCs w:val="16"/>
            </w:rPr>
          </w:pPr>
          <w:r>
            <w:rPr>
              <w:rFonts w:eastAsia="Gill Sans" w:cs="Gill Sans" w:ascii="Gill Sans" w:hAnsi="Gill Sans"/>
              <w:b/>
              <w:color w:val="042354"/>
              <w:sz w:val="16"/>
              <w:szCs w:val="16"/>
            </w:rPr>
            <w:t xml:space="preserve">POSGRADO </w:t>
          </w:r>
        </w:p>
        <w:p>
          <w:pPr>
            <w:pStyle w:val="Normal"/>
            <w:tabs>
              <w:tab w:val="clear" w:pos="720"/>
              <w:tab w:val="center" w:pos="4419" w:leader="none"/>
              <w:tab w:val="left" w:pos="4536" w:leader="none"/>
              <w:tab w:val="right" w:pos="8838" w:leader="none"/>
            </w:tabs>
            <w:ind w:start="-108"/>
            <w:rPr>
              <w:rFonts w:ascii="Gill Sans" w:hAnsi="Gill Sans" w:eastAsia="Gill Sans" w:cs="Gill Sans"/>
              <w:b/>
              <w:color w:val="44546A"/>
              <w:sz w:val="10"/>
              <w:szCs w:val="10"/>
            </w:rPr>
          </w:pPr>
          <w:r>
            <w:rPr>
              <w:rFonts w:eastAsia="Gill Sans" w:cs="Gill Sans" w:ascii="Gill Sans" w:hAnsi="Gill Sans"/>
              <w:b/>
              <w:color w:val="44546A"/>
              <w:sz w:val="10"/>
              <w:szCs w:val="10"/>
            </w:rPr>
            <w:t xml:space="preserve">                                      </w:t>
          </w:r>
        </w:p>
        <w:p>
          <w:pPr>
            <w:pStyle w:val="Normal"/>
            <w:tabs>
              <w:tab w:val="clear" w:pos="720"/>
              <w:tab w:val="center" w:pos="4419" w:leader="none"/>
              <w:tab w:val="right" w:pos="8838" w:leader="none"/>
            </w:tabs>
            <w:ind w:start="-108" w:end="-108"/>
            <w:rPr>
              <w:rFonts w:ascii="Gill Sans" w:hAnsi="Gill Sans" w:eastAsia="Gill Sans" w:cs="Gill Sans"/>
              <w:b/>
              <w:color w:val="002C63"/>
            </w:rPr>
          </w:pPr>
          <w:r>
            <w:rPr>
              <w:rFonts w:eastAsia="Gill Sans" w:cs="Gill Sans" w:ascii="Gill Sans" w:hAnsi="Gill Sans"/>
              <w:b/>
              <w:color w:val="042354"/>
              <w:sz w:val="20"/>
              <w:szCs w:val="20"/>
            </w:rPr>
            <w:t>MAESTRÍA EN DERECHO DEL TRABAJO Y SEGURIDAD SOCIAL</w:t>
          </w:r>
        </w:p>
      </w:tc>
      <w:tc>
        <w:tcPr>
          <w:tcW w:w="1100" w:type="dxa"/>
          <w:tcBorders/>
          <w:shd w:color="auto" w:fill="auto" w:val="clear"/>
        </w:tcPr>
        <w:p>
          <w:pPr>
            <w:pStyle w:val="Normal"/>
            <w:tabs>
              <w:tab w:val="clear" w:pos="720"/>
              <w:tab w:val="center" w:pos="4419" w:leader="none"/>
              <w:tab w:val="right" w:pos="8838" w:leader="none"/>
            </w:tabs>
            <w:ind w:start="-108"/>
            <w:rPr>
              <w:rFonts w:ascii="Gill Sans" w:hAnsi="Gill Sans" w:eastAsia="Gill Sans" w:cs="Gill Sans"/>
              <w:b/>
              <w:color w:val="002C63"/>
            </w:rPr>
          </w:pPr>
          <w:r>
            <w:rPr>
              <w:rFonts w:eastAsia="Gill Sans" w:cs="Gill Sans" w:ascii="Gill Sans" w:hAnsi="Gill Sans"/>
              <w:b/>
              <w:color w:val="002C63"/>
            </w:rPr>
          </w:r>
        </w:p>
        <w:p>
          <w:pPr>
            <w:pStyle w:val="Normal"/>
            <w:tabs>
              <w:tab w:val="clear" w:pos="720"/>
              <w:tab w:val="center" w:pos="4419" w:leader="none"/>
              <w:tab w:val="left" w:pos="4536" w:leader="none"/>
              <w:tab w:val="right" w:pos="8838" w:leader="none"/>
            </w:tabs>
            <w:ind w:start="-108"/>
            <w:rPr>
              <w:rFonts w:ascii="Gill Sans" w:hAnsi="Gill Sans" w:eastAsia="Gill Sans" w:cs="Gill Sans"/>
              <w:b/>
              <w:color w:val="002C63"/>
            </w:rPr>
          </w:pPr>
          <w:r>
            <w:rPr>
              <w:rFonts w:eastAsia="Gill Sans" w:cs="Gill Sans" w:ascii="Gill Sans" w:hAnsi="Gill Sans"/>
              <w:b/>
              <w:color w:val="002C63"/>
            </w:rPr>
          </w:r>
        </w:p>
      </w:tc>
      <w:tc>
        <w:tcPr>
          <w:tcW w:w="4570" w:type="dxa"/>
          <w:tcBorders/>
          <w:shd w:color="auto" w:fill="auto" w:val="clear"/>
        </w:tcPr>
        <w:p>
          <w:pPr>
            <w:pStyle w:val="Normal"/>
            <w:tabs>
              <w:tab w:val="clear" w:pos="720"/>
              <w:tab w:val="center" w:pos="4419" w:leader="none"/>
              <w:tab w:val="right" w:pos="8838" w:leader="none"/>
            </w:tabs>
            <w:jc w:val="end"/>
            <w:rPr/>
          </w:pPr>
          <w:r>
            <w:rPr/>
            <w:drawing>
              <wp:anchor behindDoc="1" distT="0" distB="0" distL="0" distR="0" simplePos="0" locked="0" layoutInCell="1" allowOverlap="1" relativeHeight="2">
                <wp:simplePos x="0" y="0"/>
                <wp:positionH relativeFrom="column">
                  <wp:posOffset>1105535</wp:posOffset>
                </wp:positionH>
                <wp:positionV relativeFrom="paragraph">
                  <wp:posOffset>75565</wp:posOffset>
                </wp:positionV>
                <wp:extent cx="1594485" cy="56388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9490" t="18728" r="9406" b="19701"/>
                        <a:stretch>
                          <a:fillRect/>
                        </a:stretch>
                      </pic:blipFill>
                      <pic:spPr bwMode="auto">
                        <a:xfrm>
                          <a:off x="0" y="0"/>
                          <a:ext cx="1594485" cy="563880"/>
                        </a:xfrm>
                        <a:prstGeom prst="rect">
                          <a:avLst/>
                        </a:prstGeom>
                        <a:noFill/>
                      </pic:spPr>
                    </pic:pic>
                  </a:graphicData>
                </a:graphic>
              </wp:anchor>
            </w:drawing>
          </w:r>
        </w:p>
      </w:tc>
    </w:tr>
  </w:tbl>
  <w:p>
    <w:pPr>
      <w:pStyle w:val="Normal"/>
      <w:tabs>
        <w:tab w:val="clear" w:pos="720"/>
        <w:tab w:val="center" w:pos="4320" w:leader="none"/>
        <w:tab w:val="right" w:pos="8640" w:leader="none"/>
      </w:tabs>
      <w:rPr>
        <w:rFonts w:ascii="Gill Sans" w:hAnsi="Gill Sans" w:eastAsia="Gill Sans" w:cs="Gill Sans"/>
        <w:color w:val="000000"/>
      </w:rPr>
    </w:pPr>
    <w:r>
      <w:rPr>
        <w:rFonts w:eastAsia="Gill Sans" w:cs="Gill Sans" w:ascii="Gill Sans" w:hAnsi="Gill Sans"/>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lowerLetter"/>
      <w:lvlText w:val="%1."/>
      <w:lvlJc w:val="start"/>
      <w:pPr>
        <w:tabs>
          <w:tab w:val="num" w:pos="0"/>
        </w:tabs>
        <w:ind w:start="1776" w:hanging="360"/>
      </w:pPr>
      <w:rPr/>
    </w:lvl>
    <w:lvl w:ilvl="1">
      <w:start w:val="1"/>
      <w:numFmt w:val="lowerLetter"/>
      <w:lvlText w:val="%2."/>
      <w:lvlJc w:val="start"/>
      <w:pPr>
        <w:tabs>
          <w:tab w:val="num" w:pos="0"/>
        </w:tabs>
        <w:ind w:start="2496" w:hanging="360"/>
      </w:pPr>
      <w:rPr/>
    </w:lvl>
    <w:lvl w:ilvl="2">
      <w:start w:val="1"/>
      <w:numFmt w:val="lowerRoman"/>
      <w:lvlText w:val="%3."/>
      <w:lvlJc w:val="end"/>
      <w:pPr>
        <w:tabs>
          <w:tab w:val="num" w:pos="0"/>
        </w:tabs>
        <w:ind w:start="3216" w:hanging="180"/>
      </w:pPr>
      <w:rPr/>
    </w:lvl>
    <w:lvl w:ilvl="3">
      <w:start w:val="1"/>
      <w:numFmt w:val="decimal"/>
      <w:lvlText w:val="%4."/>
      <w:lvlJc w:val="start"/>
      <w:pPr>
        <w:tabs>
          <w:tab w:val="num" w:pos="0"/>
        </w:tabs>
        <w:ind w:start="3936" w:hanging="360"/>
      </w:pPr>
      <w:rPr/>
    </w:lvl>
    <w:lvl w:ilvl="4">
      <w:start w:val="1"/>
      <w:numFmt w:val="lowerLetter"/>
      <w:lvlText w:val="%5."/>
      <w:lvlJc w:val="start"/>
      <w:pPr>
        <w:tabs>
          <w:tab w:val="num" w:pos="0"/>
        </w:tabs>
        <w:ind w:start="4656" w:hanging="360"/>
      </w:pPr>
      <w:rPr/>
    </w:lvl>
    <w:lvl w:ilvl="5">
      <w:start w:val="1"/>
      <w:numFmt w:val="lowerRoman"/>
      <w:lvlText w:val="%6."/>
      <w:lvlJc w:val="end"/>
      <w:pPr>
        <w:tabs>
          <w:tab w:val="num" w:pos="0"/>
        </w:tabs>
        <w:ind w:start="5376" w:hanging="180"/>
      </w:pPr>
      <w:rPr/>
    </w:lvl>
    <w:lvl w:ilvl="6">
      <w:start w:val="1"/>
      <w:numFmt w:val="decimal"/>
      <w:lvlText w:val="%7."/>
      <w:lvlJc w:val="start"/>
      <w:pPr>
        <w:tabs>
          <w:tab w:val="num" w:pos="0"/>
        </w:tabs>
        <w:ind w:start="6096" w:hanging="360"/>
      </w:pPr>
      <w:rPr/>
    </w:lvl>
    <w:lvl w:ilvl="7">
      <w:start w:val="1"/>
      <w:numFmt w:val="lowerLetter"/>
      <w:lvlText w:val="%8."/>
      <w:lvlJc w:val="start"/>
      <w:pPr>
        <w:tabs>
          <w:tab w:val="num" w:pos="0"/>
        </w:tabs>
        <w:ind w:start="6816" w:hanging="360"/>
      </w:pPr>
      <w:rPr/>
    </w:lvl>
    <w:lvl w:ilvl="8">
      <w:start w:val="1"/>
      <w:numFmt w:val="lowerRoman"/>
      <w:lvlText w:val="%9."/>
      <w:lvlJc w:val="end"/>
      <w:pPr>
        <w:tabs>
          <w:tab w:val="num" w:pos="0"/>
        </w:tabs>
        <w:ind w:start="7536" w:hanging="180"/>
      </w:pPr>
      <w:rPr/>
    </w:lvl>
  </w:abstractNum>
  <w:abstractNum w:abstractNumId="3">
    <w:lvl w:ilvl="0">
      <w:start w:val="1"/>
      <w:numFmt w:val="upperRoman"/>
      <w:lvlText w:val="%1."/>
      <w:lvlJc w:val="end"/>
      <w:pPr>
        <w:tabs>
          <w:tab w:val="num" w:pos="0"/>
        </w:tabs>
        <w:ind w:start="720" w:hanging="360"/>
      </w:pPr>
      <w:rPr>
        <w:b/>
        <w:color w:val="00206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1080" w:hanging="360"/>
      </w:pPr>
      <w:rPr>
        <w:rFonts w:ascii="Noto Sans Symbols" w:hAnsi="Noto Sans Symbols" w:cs="Noto Sans Symbols" w:hint="default"/>
        <w:color w:val="000000"/>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s-PE" w:eastAsia="es-P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56dd"/>
    <w:pPr>
      <w:widowControl/>
      <w:suppressAutoHyphens w:val="true"/>
      <w:bidi w:val="0"/>
      <w:spacing w:before="0" w:after="0"/>
      <w:jc w:val="start"/>
    </w:pPr>
    <w:rPr>
      <w:rFonts w:ascii="Cambria" w:hAnsi="Cambria" w:eastAsia="Cambria" w:cs="Cambria"/>
      <w:color w:val="auto"/>
      <w:kern w:val="0"/>
      <w:sz w:val="24"/>
      <w:szCs w:val="24"/>
      <w:lang w:val="es-PE" w:eastAsia="es-PE"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dd4f71"/>
    <w:rPr/>
  </w:style>
  <w:style w:type="character" w:styleId="CommentReference">
    <w:name w:val="annotation reference"/>
    <w:basedOn w:val="DefaultParagraphFont"/>
    <w:uiPriority w:val="99"/>
    <w:semiHidden/>
    <w:unhideWhenUsed/>
    <w:qFormat/>
    <w:rsid w:val="00d65895"/>
    <w:rPr>
      <w:sz w:val="16"/>
      <w:szCs w:val="16"/>
    </w:rPr>
  </w:style>
  <w:style w:type="character" w:styleId="TextocomentarioCar" w:customStyle="1">
    <w:name w:val="Texto comentario Car"/>
    <w:basedOn w:val="DefaultParagraphFont"/>
    <w:uiPriority w:val="99"/>
    <w:semiHidden/>
    <w:qFormat/>
    <w:rsid w:val="00d65895"/>
    <w:rPr>
      <w:sz w:val="20"/>
      <w:szCs w:val="20"/>
    </w:rPr>
  </w:style>
  <w:style w:type="character" w:styleId="AsuntodelcomentarioCar" w:customStyle="1">
    <w:name w:val="Asunto del comentario Car"/>
    <w:basedOn w:val="TextocomentarioCar"/>
    <w:link w:val="annotationsubject"/>
    <w:uiPriority w:val="99"/>
    <w:semiHidden/>
    <w:qFormat/>
    <w:rsid w:val="00d65895"/>
    <w:rPr>
      <w:b/>
      <w:bCs/>
      <w:sz w:val="20"/>
      <w:szCs w:val="20"/>
    </w:rPr>
  </w:style>
  <w:style w:type="character" w:styleId="TextodegloboCar" w:customStyle="1">
    <w:name w:val="Texto de globo Car"/>
    <w:basedOn w:val="DefaultParagraphFont"/>
    <w:link w:val="BalloonText"/>
    <w:uiPriority w:val="99"/>
    <w:semiHidden/>
    <w:qFormat/>
    <w:rsid w:val="00d65895"/>
    <w:rPr>
      <w:rFonts w:ascii="Segoe UI" w:hAnsi="Segoe UI" w:cs="Segoe UI"/>
      <w:sz w:val="18"/>
      <w:szCs w:val="18"/>
    </w:rPr>
  </w:style>
  <w:style w:type="character" w:styleId="Hyperlink">
    <w:name w:val="Hyperlink"/>
    <w:uiPriority w:val="99"/>
    <w:rsid w:val="001c3bf6"/>
    <w:rPr>
      <w:rFonts w:cs="Times New Roman"/>
      <w:color w:val="0000FF"/>
      <w:u w:val="single"/>
    </w:rPr>
  </w:style>
  <w:style w:type="character" w:styleId="UnresolvedMention">
    <w:name w:val="Unresolved Mention"/>
    <w:basedOn w:val="DefaultParagraphFont"/>
    <w:uiPriority w:val="99"/>
    <w:semiHidden/>
    <w:unhideWhenUsed/>
    <w:qFormat/>
    <w:rsid w:val="00807ec8"/>
    <w:rPr>
      <w:color w:val="605E5C"/>
      <w:shd w:fill="E1DFDD" w:val="clear"/>
    </w:rPr>
  </w:style>
  <w:style w:type="character" w:styleId="PiedepginaCar" w:customStyle="1">
    <w:name w:val="Pie de página Car"/>
    <w:basedOn w:val="DefaultParagraphFont"/>
    <w:uiPriority w:val="99"/>
    <w:qFormat/>
    <w:rsid w:val="00c02bc0"/>
    <w:rPr>
      <w:rFonts w:ascii="Cambria" w:hAnsi="Cambria" w:eastAsia="" w:cs="Times New Roman" w:asciiTheme="minorHAnsi" w:eastAsiaTheme="minorEastAsia" w:hAnsiTheme="minorHAnsi"/>
      <w:sz w:val="22"/>
      <w:szCs w:val="22"/>
    </w:rPr>
  </w:style>
  <w:style w:type="paragraph" w:styleId="Ttulo">
    <w:name w:val="Título"/>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Noto Sans" w:cs="Noto Sans"/>
      <w:sz w:val="28"/>
      <w:szCs w:val="28"/>
    </w:rPr>
  </w:style>
  <w:style w:type="paragraph" w:styleId="ndiceuser">
    <w:name w:val="Índice (user)"/>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ParagraphStyle" w:customStyle="1">
    <w:name w:val="NormalParagraphStyle"/>
    <w:basedOn w:val="Normal"/>
    <w:qFormat/>
    <w:rsid w:val="00dd4f71"/>
    <w:pPr>
      <w:widowControl w:val="false"/>
      <w:spacing w:lineRule="auto" w:line="288"/>
      <w:jc w:val="both"/>
      <w:textAlignment w:val="center"/>
    </w:pPr>
    <w:rPr>
      <w:rFonts w:ascii="Times-Roman" w:hAnsi="Times-Roman" w:eastAsia="Times New Roman" w:cs="Times New Roman"/>
      <w:color w:val="000000"/>
      <w:lang w:val="es-ES_tradnl" w:eastAsia="es-ES"/>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dd4f71"/>
    <w:pPr>
      <w:tabs>
        <w:tab w:val="clear" w:pos="720"/>
        <w:tab w:val="center" w:pos="4252" w:leader="none"/>
        <w:tab w:val="right" w:pos="8504" w:leader="none"/>
      </w:tabs>
    </w:pPr>
    <w:rPr/>
  </w:style>
  <w:style w:type="paragraph" w:styleId="ListParagraph">
    <w:name w:val="List Paragraph"/>
    <w:basedOn w:val="Normal"/>
    <w:uiPriority w:val="34"/>
    <w:qFormat/>
    <w:rsid w:val="00932110"/>
    <w:pPr>
      <w:spacing w:before="0" w:after="0"/>
      <w:ind w:start="720"/>
      <w:contextualSpacing/>
    </w:pPr>
    <w:rPr/>
  </w:style>
  <w:style w:type="paragraph" w:styleId="NoSpacing">
    <w:name w:val="No Spacing"/>
    <w:uiPriority w:val="1"/>
    <w:qFormat/>
    <w:rsid w:val="00237bd1"/>
    <w:pPr>
      <w:widowControl/>
      <w:suppressAutoHyphens w:val="true"/>
      <w:bidi w:val="0"/>
      <w:spacing w:before="0" w:after="0"/>
      <w:jc w:val="start"/>
    </w:pPr>
    <w:rPr>
      <w:rFonts w:ascii="Cambria" w:hAnsi="Cambria" w:eastAsia="Cambria" w:cs="Cambria"/>
      <w:color w:val="auto"/>
      <w:kern w:val="0"/>
      <w:sz w:val="24"/>
      <w:szCs w:val="24"/>
      <w:lang w:val="es-PE" w:eastAsia="es-PE" w:bidi="ar-SA"/>
    </w:rPr>
  </w:style>
  <w:style w:type="paragraph" w:styleId="CommentText">
    <w:name w:val="annotation text"/>
    <w:basedOn w:val="Normal"/>
    <w:link w:val="TextocomentarioCar"/>
    <w:uiPriority w:val="99"/>
    <w:semiHidden/>
    <w:unhideWhenUsed/>
    <w:rsid w:val="00d65895"/>
    <w:pPr/>
    <w:rPr>
      <w:sz w:val="20"/>
      <w:szCs w:val="20"/>
    </w:rPr>
  </w:style>
  <w:style w:type="paragraph" w:styleId="annotationsubject">
    <w:name w:val="annotation subject"/>
    <w:basedOn w:val="CommentText"/>
    <w:next w:val="CommentText"/>
    <w:link w:val="AsuntodelcomentarioCar"/>
    <w:uiPriority w:val="99"/>
    <w:semiHidden/>
    <w:unhideWhenUsed/>
    <w:qFormat/>
    <w:rsid w:val="00d65895"/>
    <w:pPr/>
    <w:rPr>
      <w:b/>
      <w:bCs/>
    </w:rPr>
  </w:style>
  <w:style w:type="paragraph" w:styleId="BalloonText">
    <w:name w:val="Balloon Text"/>
    <w:basedOn w:val="Normal"/>
    <w:link w:val="TextodegloboCar"/>
    <w:uiPriority w:val="99"/>
    <w:semiHidden/>
    <w:unhideWhenUsed/>
    <w:qFormat/>
    <w:rsid w:val="00d65895"/>
    <w:pPr/>
    <w:rPr>
      <w:rFonts w:ascii="Segoe UI" w:hAnsi="Segoe UI" w:cs="Segoe UI"/>
      <w:sz w:val="18"/>
      <w:szCs w:val="18"/>
    </w:rPr>
  </w:style>
  <w:style w:type="paragraph" w:styleId="Default" w:customStyle="1">
    <w:name w:val="Default"/>
    <w:qFormat/>
    <w:rsid w:val="00542d78"/>
    <w:pPr>
      <w:widowControl w:val="false"/>
      <w:suppressAutoHyphens w:val="true"/>
      <w:bidi w:val="0"/>
      <w:spacing w:lineRule="atLeast" w:line="360" w:before="0" w:after="0"/>
      <w:jc w:val="both"/>
    </w:pPr>
    <w:rPr>
      <w:rFonts w:ascii="Gill Sans MT" w:hAnsi="Gill Sans MT" w:eastAsia="Calibri" w:cs="Gill Sans MT"/>
      <w:color w:val="000000"/>
      <w:kern w:val="0"/>
      <w:sz w:val="24"/>
      <w:szCs w:val="24"/>
      <w:lang w:val="es-ES" w:eastAsia="es-ES" w:bidi="ar-SA"/>
    </w:rPr>
  </w:style>
  <w:style w:type="paragraph" w:styleId="Footer">
    <w:name w:val="footer"/>
    <w:basedOn w:val="Normal"/>
    <w:link w:val="PiedepginaCar"/>
    <w:uiPriority w:val="99"/>
    <w:unhideWhenUsed/>
    <w:rsid w:val="00c02bc0"/>
    <w:pPr>
      <w:tabs>
        <w:tab w:val="clear" w:pos="720"/>
        <w:tab w:val="center" w:pos="4680" w:leader="none"/>
        <w:tab w:val="right" w:pos="9360" w:leader="none"/>
      </w:tabs>
    </w:pPr>
    <w:rPr>
      <w:rFonts w:ascii="Cambria" w:hAnsi="Cambria" w:eastAsia="" w:cs="Times New Roman" w:asciiTheme="minorHAnsi" w:eastAsiaTheme="minorEastAsia" w:hAnsiTheme="minorHAnsi"/>
      <w:sz w:val="22"/>
      <w:szCs w:val="22"/>
    </w:rPr>
  </w:style>
  <w:style w:type="paragraph" w:styleId="NormalWeb">
    <w:name w:val="Normal (Web)"/>
    <w:basedOn w:val="Normal"/>
    <w:uiPriority w:val="99"/>
    <w:semiHidden/>
    <w:unhideWhenUsed/>
    <w:qFormat/>
    <w:rsid w:val="00b42282"/>
    <w:pPr>
      <w:spacing w:beforeAutospacing="1" w:afterAutospacing="1"/>
    </w:pPr>
    <w:rPr>
      <w:rFonts w:ascii="Times New Roman" w:hAnsi="Times New Roman" w:eastAsia="Times New Roman" w:cs="Times New Roman"/>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aconcuadrcula1">
    <w:name w:val="Tabla con cuadrícula1"/>
    <w:basedOn w:val="Tablanormal"/>
    <w:uiPriority w:val="59"/>
    <w:rsid w:val="00421890"/>
    <w:rPr>
      <w:rFonts w:asciiTheme="minorHAnsi" w:hAnsiTheme="minorHAnsi" w:eastAsiaTheme="minorEastAsia" w:cstheme="minorBid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
    <w:name w:val="Table Grid"/>
    <w:basedOn w:val="Tablanormal"/>
    <w:uiPriority w:val="39"/>
    <w:rsid w:val="004218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2307/2026132" TargetMode="External"/><Relationship Id="rId3" Type="http://schemas.openxmlformats.org/officeDocument/2006/relationships/hyperlink" Target="https://doi.org/10.2307/2026132"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MCm3HjrppfIbDlZdhE3AEbCww==">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Application>LibreOffice/25.8.4.2$Linux_X86_64 LibreOffice_project/290daaa01b999472f0c7a3890eb6a550fd74c6df</Application>
  <AppVersion>15.0000</AppVersion>
  <Pages>17</Pages>
  <Words>5494</Words>
  <Characters>30276</Characters>
  <CharactersWithSpaces>35353</CharactersWithSpaces>
  <Paragraphs>558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2025-03-23T03:21:00Z</dcterms:created>
  <dc:creator>Sonia Lucila Sayas Gallegos</dc:creator>
  <dc:description/>
  <dc:language>es-PE</dc:language>
  <cp:lastModifiedBy/>
  <cp:lastPrinted>2026-02-07T18:54:56Z</cp:lastPrinted>
  <dcterms:modified xsi:type="dcterms:W3CDTF">2026-02-07T21:40:51Z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