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ind w:firstLine="720"/>
      </w:pPr>
    </w:p>
    <w:p>
      <w:pPr>
        <w:ind w:firstLine="720"/>
      </w:pPr>
    </w:p>
    <w:p>
      <w:pPr>
        <w:ind w:firstLine="720"/>
      </w:pPr>
    </w:p>
    <w:p>
      <w:pPr>
        <w:jc w:val="center"/>
      </w:pPr>
      <w:r>
        <w:rPr>
          <w:b/>
        </w:rPr>
        <w:t xml:space="preserve">Critical Evaluation of the PolicingMH Dataset</w:t>
      </w:r>
    </w:p>
    <w:p>
      <w:pPr>
        <w:ind w:firstLine="720"/>
      </w:pPr>
    </w:p>
    <w:p>
      <w:pPr>
        <w:jc w:val="center"/>
      </w:pPr>
      <w:r>
        <w:t xml:space="preserve">[Your Name]</w:t>
      </w:r>
    </w:p>
    <w:p>
      <w:pPr>
        <w:jc w:val="center"/>
      </w:pPr>
      <w:r>
        <w:t xml:space="preserve">[Student Number]</w:t>
      </w:r>
    </w:p>
    <w:p>
      <w:pPr>
        <w:jc w:val="center"/>
      </w:pPr>
      <w:r>
        <w:t xml:space="preserve">[Department, University]</w:t>
      </w:r>
    </w:p>
    <w:p>
      <w:pPr>
        <w:jc w:val="center"/>
      </w:pPr>
      <w:r>
        <w:t xml:space="preserve">[Course Number: Course Name]</w:t>
      </w:r>
    </w:p>
    <w:p>
      <w:pPr>
        <w:jc w:val="center"/>
      </w:pPr>
      <w:r>
        <w:t xml:space="preserve">[Instructor Name]</w:t>
      </w:r>
    </w:p>
    <w:p>
      <w:pPr>
        <w:jc w:val="center"/>
      </w:pPr>
      <w:r>
        <w:t xml:space="preserve">[Due Date]</w:t>
      </w:r>
    </w:p>
    <w:p>
      <w:pPr>
        <w:pageBreakBefore/>
        <w:jc w:val="center"/>
      </w:pPr>
      <w:r>
        <w:rPr>
          <w:b/>
        </w:rPr>
        <w:t xml:space="preserve">Critical Evaluation of the PolicingMH Dataset</w:t>
      </w:r>
    </w:p>
    <w:p>
      <w:pPr>
        <w:ind w:firstLine="720"/>
      </w:pPr>
      <w:r>
        <w:t xml:space="preserve">The PolicingMH dataset was compiled by River City Police Service (RCPS) to examine the question: What factors are associated with the severity of police use of force when responding to mental health crisis calls? Like all administrative records, these data were created by police for institutional purposes, such as accountability and liability, rather than for research [course reading]. This means the data are not a neutral record of what happened. Two features in particular shape what our analyses can tell us: how calls were selected into the dataset, and who measured the key variables.</w:t>
      </w:r>
    </w:p>
    <w:p>
      <w:pPr>
        <w:jc w:val="center"/>
      </w:pPr>
      <w:r>
        <w:rPr>
          <w:b/>
        </w:rPr>
        <w:t xml:space="preserve">Sampling and Selection Bias</w:t>
      </w:r>
    </w:p>
    <w:p>
      <w:pPr>
        <w:ind w:firstLine="720"/>
      </w:pPr>
      <w:r>
        <w:t xml:space="preserve">Selection bias occurs when the way cases enter a sample is related to the outcome being studied, so the sample no longer represents the population of interest [course reading]. PolicingMH includes only mental health crisis calls in which a use-of-force report was filed. Calls that ended without force are excluded. This is visible in the data: the codebook defines 0 as “no force used,” yet the lowest </w:t>
      </w:r>
      <w:r>
        <w:rPr>
          <w:i/>
        </w:rPr>
        <w:t xml:space="preserve">force_severity</w:t>
      </w:r>
      <w:r>
        <w:t xml:space="preserve"> score is 25.9. As a result, the dataset can tell us how severe force was once it was used, but not whether force was used at all. This matters for the research question. If mental health co-response teams prevent force entirely, those successful calls are invisible, and the dataset may understate the value of co-response. The narrower range of scores may also weaken the associations we find.</w:t>
      </w:r>
    </w:p>
    <w:p>
      <w:pPr>
        <w:ind w:firstLine="720"/>
      </w:pPr>
      <w:r>
        <w:t xml:space="preserve">Inclusion also depends on an officer choosing to file a report. Minor force that was never documented is missing, so the sample is shaped by officer discretion rather than by what happened on each call. Finally, repeat calls involving the same person were removed so that each person appears only once. This meets the statistical assumption of independence, but it erases people in chronic crisis who have repeated contact with police, who are often among the most marginalized. The codebook also does not say which call was kept, and that choice could change the results.</w:t>
      </w:r>
    </w:p>
    <w:p>
      <w:pPr>
        <w:jc w:val="center"/>
      </w:pPr>
      <w:r>
        <w:rPr>
          <w:b/>
        </w:rPr>
        <w:t xml:space="preserve">Measurement Bias and Officer Subjectivity</w:t>
      </w:r>
    </w:p>
    <w:p>
      <w:pPr>
        <w:ind w:firstLine="720"/>
      </w:pPr>
      <w:r>
        <w:t xml:space="preserve">Measurement bias occurs when the way a variable is recorded systematically distorts its true value [course reading]. In PolicingMH, </w:t>
      </w:r>
      <w:r>
        <w:rPr>
          <w:i/>
        </w:rPr>
        <w:t xml:space="preserve">force_severity</w:t>
      </w:r>
      <w:r>
        <w:t xml:space="preserve"> (in part), </w:t>
      </w:r>
      <w:r>
        <w:rPr>
          <w:i/>
        </w:rPr>
        <w:t xml:space="preserve">subject_distress</w:t>
      </w:r>
      <w:r>
        <w:t xml:space="preserve">, and </w:t>
      </w:r>
      <w:r>
        <w:rPr>
          <w:i/>
        </w:rPr>
        <w:t xml:space="preserve">weapon</w:t>
      </w:r>
      <w:r>
        <w:t xml:space="preserve"> are recorded by the same officer who used force, not by an independent observer. Officers have an institutional incentive to justify their actions after the fact. They may rate a person’s distress as higher, report a weapon more readily, or describe the force they used as less intense. Because the outcome and several predictors come from the same reporter, a relationship between distress and force severity may partly reflect how officers explain their decisions rather than how distressed the person actually was.</w:t>
      </w:r>
    </w:p>
    <w:p>
      <w:pPr>
        <w:ind w:firstLine="720"/>
      </w:pPr>
      <w:r>
        <w:t xml:space="preserve">The </w:t>
      </w:r>
      <w:r>
        <w:rPr>
          <w:i/>
        </w:rPr>
        <w:t xml:space="preserve">dispatch_risk</w:t>
      </w:r>
      <w:r>
        <w:t xml:space="preserve"> variable raises a related concern. It is assigned by dispatchers based on what callers report, and it is passed to officers before they arrive. A “High” rating may prime officers to expect danger and respond with more force. Any link between </w:t>
      </w:r>
      <w:r>
        <w:rPr>
          <w:i/>
        </w:rPr>
        <w:t xml:space="preserve">dispatch_risk</w:t>
      </w:r>
      <w:r>
        <w:t xml:space="preserve"> and </w:t>
      </w:r>
      <w:r>
        <w:rPr>
          <w:i/>
        </w:rPr>
        <w:t xml:space="preserve">force_severity</w:t>
      </w:r>
      <w:r>
        <w:t xml:space="preserve"> may therefore reflect officer expectations as much as the actual risk on the call.</w:t>
      </w:r>
    </w:p>
    <w:p>
      <w:pPr>
        <w:jc w:val="center"/>
      </w:pPr>
      <w:r>
        <w:rPr>
          <w:b/>
        </w:rPr>
        <w:t xml:space="preserve">Conclusion</w:t>
      </w:r>
    </w:p>
    <w:p>
      <w:pPr>
        <w:ind w:firstLine="720"/>
      </w:pPr>
      <w:r>
        <w:t xml:space="preserve">Together, these issues mean that results from later analyses describe patterns in how RCPS recorded force once a report was filed. They do not provide a complete or causal picture of police responses to mental health crises. Ethically, the people in this dataset did not consent to having their crises analyzed. Findings should be interpreted with care so that they do not shift blame onto people in crisis rather than onto the police practices that produced the data [course reading].</w:t>
      </w:r>
    </w:p>
    <w:p>
      <w:pPr>
        <w:pageBreakBefore/>
        <w:jc w:val="center"/>
      </w:pPr>
      <w:r>
        <w:rPr>
          <w:b/>
        </w:rPr>
        <w:t xml:space="preserve">References</w:t>
      </w:r>
    </w:p>
    <w:p>
      <w:pPr>
        <w:ind w:left="720" w:hanging="720"/>
      </w:pPr>
      <w:r>
        <w:t xml:space="preserve">[Course readings to be added]</w:t>
      </w:r>
    </w:p>
    <w:sectPr>
      <w:headerReference w:type="default" r:id="rId2"/>
      <w:pgSz w:w="12240" w:h="15840"/>
      <w:pgMar w:top="1440" w:right="1440" w:bottom="1440" w:left="1440" w:header="720" w:footer="720" w:gutter="0"/>
    </w:sectPr>
  </w:body>
</w:document>
</file>

<file path=word/header1.xml><?xml version="1.0" encoding="utf-8"?>
<w:hdr xmlns:w="http://schemas.openxmlformats.org/wordprocessingml/2006/main" xmlns:r="http://schemas.openxmlformats.org/officeDocument/2006/relationships">
  <w:p>
    <w:pPr>
      <w:jc w:val="right"/>
    </w:pPr>
    <w:r>
      <w:fldChar w:fldCharType="begin"/>
    </w:r>
    <w:r>
      <w:instrText xml:space="preserve"> PAGE </w:instrText>
    </w:r>
    <w:r>
      <w:fldChar w:fldCharType="separate"/>
    </w:r>
    <w:r>
      <w:t>1</w:t>
    </w:r>
    <w:r>
      <w:fldChar w:fldCharType="end"/>
    </w:r>
  </w:p>
</w:hdr>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n-CA"/>
      </w:rPr>
    </w:rPrDefault>
    <w:pPrDefault>
      <w:pPr>
        <w:spacing w:before="0" w:after="0" w:line="48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s>
</file>