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r w:rsidDel="00000000" w:rsidR="00000000" w:rsidRPr="00000000">
        <w:rPr>
          <w:rtl w:val="0"/>
        </w:rPr>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5">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r w:rsidDel="00000000" w:rsidR="00000000" w:rsidRPr="00000000">
        <w:rPr>
          <w:rtl w:val="0"/>
        </w:rPr>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GDPR because they conduct business and collect personal information from people worldwide, including the E.U.</w:t>
      </w:r>
      <w:r w:rsidDel="00000000" w:rsidR="00000000" w:rsidRPr="00000000">
        <w:rPr>
          <w:rtl w:val="0"/>
        </w:rPr>
      </w:r>
    </w:p>
    <w:p w:rsidR="00000000" w:rsidDel="00000000" w:rsidP="00000000" w:rsidRDefault="00000000" w:rsidRPr="00000000" w14:paraId="00000008">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PCI DSS because they store, accept, process, and transmit credit card information in person and online.</w:t>
      </w:r>
      <w:r w:rsidDel="00000000" w:rsidR="00000000" w:rsidRPr="00000000">
        <w:rPr>
          <w:rtl w:val="0"/>
        </w:rPr>
      </w:r>
    </w:p>
    <w:p w:rsidR="00000000" w:rsidDel="00000000" w:rsidP="00000000" w:rsidRDefault="00000000" w:rsidRPr="00000000" w14:paraId="0000000B">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0E">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SOC1 and SOC2</w:t>
      </w:r>
      <w:r w:rsidDel="00000000" w:rsidR="00000000" w:rsidRPr="00000000">
        <w:rPr>
          <w:rFonts w:ascii="Google Sans" w:cs="Google Sans" w:eastAsia="Google Sans" w:hAnsi="Google Sans"/>
          <w:sz w:val="24"/>
          <w:szCs w:val="24"/>
          <w:rtl w:val="0"/>
        </w:rPr>
        <w:t xml:space="preserve">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0">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for internal and external (third-party vendor) personnel to mitigate risk and ensure data safety.</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