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Medical Performance Analysis: Four Collegiate Basketball Players/rephrased with Perplexity</w:t>
      </w:r>
    </w:p>
    <w:p w:rsidR="00000000" w:rsidDel="00000000" w:rsidP="00000000" w:rsidRDefault="00000000" w:rsidRPr="00000000" w14:paraId="00000002">
      <w:pPr>
        <w:ind w:left="-540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Player 741 – High-force, knee-risk profile</w:t>
      </w:r>
    </w:p>
    <w:p w:rsidR="00000000" w:rsidDel="00000000" w:rsidP="00000000" w:rsidRDefault="00000000" w:rsidRPr="00000000" w14:paraId="00000004">
      <w:pPr>
        <w:ind w:left="-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 741 demonstrates high Peak Propulsive Power (3,627 W; above team average 3,483 W) but only 0.27 m Jump Height, producing an elevated power-to-height ratio (~13:1 vs an elite benchmark of ~10:1) that reflects substantial mechanical inefficiency and energy loss. Peak Velocity is moderate at 7.8 m/s relative to power, Distance Total is ~105,000 m (stable), Speed Max is ~9.0 m, and Jump Height variability is high (CV 23.5%), indicating inconsistent neuromuscular control across sessions.​</w:t>
      </w:r>
    </w:p>
    <w:p w:rsidR="00000000" w:rsidDel="00000000" w:rsidP="00000000" w:rsidRDefault="00000000" w:rsidRPr="00000000" w14:paraId="00000005">
      <w:pPr>
        <w:ind w:left="-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metric pattern suggests a deep knee flexion, “grinding” strategy with prolonged ground contact, high quadriceps demand, and increased patellofemoral joint loading, compounded by limited elastic tendon contribution. As a result, 741 is at high risk for patellofemoral pain syndrome and moderate-to-high risk for non-contact ACL injury due to valgus-prone landing mechanics under fatigue and extended loading time during the landing phase (Boden et al., 2009; Hewett et al., 2005; Macri et al., 2021; Witvrouw et al., 2014).​</w:t>
      </w:r>
    </w:p>
    <w:p w:rsidR="00000000" w:rsidDel="00000000" w:rsidP="00000000" w:rsidRDefault="00000000" w:rsidRPr="00000000" w14:paraId="00000006">
      <w:pPr>
        <w:ind w:left="-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Player 555 – Efficient but low-capacity profile</w:t>
      </w:r>
    </w:p>
    <w:p w:rsidR="00000000" w:rsidDel="00000000" w:rsidP="00000000" w:rsidRDefault="00000000" w:rsidRPr="00000000" w14:paraId="00000008">
      <w:pPr>
        <w:ind w:left="-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 555 achieves greater Jump Height (0.31 m) on lower power output (3,100 W) than 741, indicating an efficient power-to-height ratio (~10:1) and effective use of elastic components to minimize wasted energy. Peak Velocity is 7.2 m/s (moderate), Distance Total is ~95,000 m with a 10% decline flagged, Speed Max is variable, and Jump Height variability is very low (CV 5.2%), reflecting highly stable, repeatable neuromuscular performance.​</w:t>
      </w:r>
    </w:p>
    <w:p w:rsidR="00000000" w:rsidDel="00000000" w:rsidP="00000000" w:rsidRDefault="00000000" w:rsidRPr="00000000" w14:paraId="00000009">
      <w:pPr>
        <w:ind w:left="-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configuration represents sound mechanics with strong elastic contribution but reduced absolute force capacity, meaning that tissues may be overloaded when external demands (sprinting, contact, or high-intensity bouts) spike beyond her strength reserves. Consequently, 555 has a moderate, volume-dependent risk for Achilles tendinopathy due to heavy reliance on tendon “spring,” and a moderate risk for proximal hamstring strain when high sprint velocities (7.2 m/s) impose eccentric demands that exceed available power (Askling et al., 2003; Chumanov et al., 2011; Kvist, 1994; Rio et al., 2015).​</w:t>
      </w:r>
    </w:p>
    <w:p w:rsidR="00000000" w:rsidDel="00000000" w:rsidP="00000000" w:rsidRDefault="00000000" w:rsidRPr="00000000" w14:paraId="0000000A">
      <w:pPr>
        <w:ind w:left="-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Player 755 – Volume-trap, fatigue-compensation profile</w:t>
      </w:r>
    </w:p>
    <w:p w:rsidR="00000000" w:rsidDel="00000000" w:rsidP="00000000" w:rsidRDefault="00000000" w:rsidRPr="00000000" w14:paraId="0000000C">
      <w:pPr>
        <w:ind w:left="-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 755 maintains elite-range Jump Height (0.60–0.80 m) but with a wide performance range (0.43–0.90 m), while Peak Velocity is 2.65 m/s—approximately 16.7% slower than Player 995’s 3.18 m/s despite higher workload. Distance Total averages 4,060 m per session (33% greater than 995’s 3,053 m), Speed Max remains below the 7.0 m/s readiness threshold, and Peak Propulsive Power is flagged for strength deficit.​</w:t>
      </w:r>
    </w:p>
    <w:p w:rsidR="00000000" w:rsidDel="00000000" w:rsidP="00000000" w:rsidRDefault="00000000" w:rsidRPr="00000000" w14:paraId="0000000D">
      <w:pPr>
        <w:ind w:left="-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pattern illustrates a “volume trap”: high external load suppresses neuromuscular efficiency, with stable jump outcomes being maintained via compensatory, slower, higher-contact-time movement rather than true explosiveness. The profile confers high risk for patellar tendinopathy, moderate-to-high risk for lumbar and hip overload due to repeated impacts without sufficient strength support, and a generalized moderate increase in global injury risk linked to chronic fatigue, reduced Speed Max, and degraded movement quality (Gabbett, 2016; Gathercole et al., 2015; Hewett et al., 2005; Svilar et al., 2019; Witvrouw et al., 2014).​</w:t>
      </w:r>
    </w:p>
    <w:p w:rsidR="00000000" w:rsidDel="00000000" w:rsidP="00000000" w:rsidRDefault="00000000" w:rsidRPr="00000000" w14:paraId="0000000E">
      <w:pPr>
        <w:ind w:left="-5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Player 995 – Explosive-reactive, balanced profile</w:t>
      </w:r>
    </w:p>
    <w:p w:rsidR="00000000" w:rsidDel="00000000" w:rsidP="00000000" w:rsidRDefault="00000000" w:rsidRPr="00000000" w14:paraId="00000011">
      <w:pPr>
        <w:ind w:left="-540" w:firstLine="0"/>
        <w:rPr>
          <w:rFonts w:ascii="Times New Roman" w:cs="Times New Roman" w:eastAsia="Times New Roman" w:hAnsi="Times New Roman"/>
        </w:rPr>
      </w:pPr>
      <w:sdt>
        <w:sdtPr>
          <w:id w:val="-1556090917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Player 995 also records elite-range Jump Height (0.60–0.80 m) with stable trends but couples this with higher Peak Velocity (3.18 m/s; 16.7% faster than 755) at a lower Distance Total of 3,053 m per session (33% less volume than 755). Speed Max ranges from 5.13–7.48 m/s and consistently exceeds the ~90% readiness threshold (≈6.7+ m/s), while Peak Propulsive Power is below optimal but framed as a development opportunity rather than a limiting deficit.​</w:t>
          </w:r>
        </w:sdtContent>
      </w:sdt>
    </w:p>
    <w:p w:rsidR="00000000" w:rsidDel="00000000" w:rsidP="00000000" w:rsidRDefault="00000000" w:rsidRPr="00000000" w14:paraId="00000012">
      <w:pPr>
        <w:ind w:left="-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integrated metrics describe efficient force application, appropriate workload, and preserved neuromuscular readiness, placing 995 in a low current global injury-risk category. Conditional risks include potential overuse injury if Distance Total is rapidly increased (&gt;20% spike toward &gt;3,660 m per session) and elevated hamstring strain risk if maximal sprint exposure grows without parallel eccentric strength development at high Speed Max (~7.48 m/s) (Askling et al., 2003; Chumanov et al., 2011; Dos Santos et al., 2017; Gabbett, 2016).</w:t>
      </w:r>
    </w:p>
    <w:p w:rsidR="00000000" w:rsidDel="00000000" w:rsidP="00000000" w:rsidRDefault="00000000" w:rsidRPr="00000000" w14:paraId="00000013">
      <w:pPr>
        <w:ind w:left="-540" w:firstLine="0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40" w:firstLine="0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References (APA)</w:t>
      </w:r>
    </w:p>
    <w:p w:rsidR="00000000" w:rsidDel="00000000" w:rsidP="00000000" w:rsidRDefault="00000000" w:rsidRPr="00000000" w14:paraId="00000015">
      <w:pPr>
        <w:ind w:left="-54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Askling, C. M., Tengvar, M., &amp; Thorstensson, A. (2003). Hamstring injury occurrence in elite soccer players after preseason strength training with eccentric overload.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Scandinavian Journal of Medicine &amp; Science in Sports, 13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(4), 244–250. https://doi.org/10.1034/j.1600-0838.2003.00312. </w:t>
      </w:r>
    </w:p>
    <w:p w:rsidR="00000000" w:rsidDel="00000000" w:rsidP="00000000" w:rsidRDefault="00000000" w:rsidRPr="00000000" w14:paraId="00000016">
      <w:pPr>
        <w:ind w:left="-54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Boden BP, Torg JS, Knowles SB, Hewett TE. Video analysis of anterior cruciate ligament injury: abnormalities in hip and ankle kinematics. Am J Sports Med. 2009 Feb;37(2):252-9. doi: 10.1177/0363546508328107. PMID: 19182110.</w:t>
      </w:r>
    </w:p>
    <w:p w:rsidR="00000000" w:rsidDel="00000000" w:rsidP="00000000" w:rsidRDefault="00000000" w:rsidRPr="00000000" w14:paraId="00000017">
      <w:pPr>
        <w:ind w:left="-54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Chumanov, E. S., Heiderscheit, B. C., &amp; Thelen, D. G. (2011). Hamstring musculotendon dynamics during stance and swing phases of high-speed running.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Medicine and science in sports and exercise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43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(3), 525–532. https://doi.org/10.1249/MSS.0b013e3181f23fe8Dos Santos, T., Thomas, C., Comfort, P., &amp; Jones, P. A. (2017). The effect of a 6-week strength program on drop jump performance and reactive strength index.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Journal of Strength and Conditioning Research, 33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(8), 2140–2151. ​</w:t>
      </w:r>
    </w:p>
    <w:p w:rsidR="00000000" w:rsidDel="00000000" w:rsidP="00000000" w:rsidRDefault="00000000" w:rsidRPr="00000000" w14:paraId="00000018">
      <w:pPr>
        <w:ind w:left="-54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Gabbett, T. J. (2016). The training–injury prevention paradox: Should athletes be training smarter and harder?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British Journal of Sports Medicine, 50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(5), 273–280.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18"/>
            <w:szCs w:val="18"/>
            <w:u w:val="single"/>
            <w:rtl w:val="0"/>
          </w:rPr>
          <w:t xml:space="preserve">https://doi.org/10.1136/bjsports-2015-095788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54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Gathercole, R., Sporer, B., Stellingwerff, T., &amp; Sleivert, G. (2015). Alternative countermovement-jump analysis to quantify acute neuromuscular fatigue.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International Journal of Sports Physiology and Performance, 10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(1), 84–92.</w:t>
      </w:r>
    </w:p>
    <w:p w:rsidR="00000000" w:rsidDel="00000000" w:rsidP="00000000" w:rsidRDefault="00000000" w:rsidRPr="00000000" w14:paraId="0000001A">
      <w:pPr>
        <w:ind w:left="-54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Hewett, T. E., Myer, G. D., Ford, K. R., Heidt, R. S., Colosimo, A. J., McLean, S. G., &amp; Succop, P. (2005). Biomechanical measures of neuromuscular control and valgus loading of the knee predict anterior cruciate ligament injury risk in female athletes.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The American Journal of Sports Medicine, 33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(4), 492–501.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18"/>
            <w:szCs w:val="18"/>
            <w:u w:val="single"/>
            <w:rtl w:val="0"/>
          </w:rPr>
          <w:t xml:space="preserve">https://doi.org/10.1177/0363546504269591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4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Kvist M. Achilles tendon injuries in athletes. Sports Med. 1994 Sep;18(3):173-201. doi: 10.2165/00007256-199418030-00004. PMID: 7809555.Macri, E. M., Tate, A., Lynch, J., LaBon, C., &amp; Hoch, M. C. (2021). Risk factors associated with patellofemoral pain: A systematic review and meta-analysis.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British Journal of Sports Medicine, 55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(6), 313–322.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18"/>
            <w:szCs w:val="18"/>
            <w:u w:val="single"/>
            <w:rtl w:val="0"/>
          </w:rPr>
          <w:t xml:space="preserve">https://doi.org/10.1136/bjsports-2020-102614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4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Macri, E. M., Tate, A., Lynch, J., LaBon, C., &amp; Hoch, M. C. (2021). Risk factors associated with patellofemoral pain: A systematic review and meta-analysis.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British Journal of Sports Medicine, 55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(6), 313–322</w:t>
      </w:r>
    </w:p>
    <w:p w:rsidR="00000000" w:rsidDel="00000000" w:rsidP="00000000" w:rsidRDefault="00000000" w:rsidRPr="00000000" w14:paraId="0000001D">
      <w:pPr>
        <w:ind w:left="-54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Rio, E., Kidgell, D., Moseley, G. L., &amp; Gaida, J. (2015). Tendon neuroplasticity: Responses to loading and strategies to improve mechanotherapy.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Journal of Orthopaedic &amp; Sports Physical Therapy, 45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(11), 842–852. </w:t>
      </w:r>
    </w:p>
    <w:p w:rsidR="00000000" w:rsidDel="00000000" w:rsidP="00000000" w:rsidRDefault="00000000" w:rsidRPr="00000000" w14:paraId="0000001E">
      <w:pPr>
        <w:ind w:left="-54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Svilar, L., Castellano, J., &amp; Jukic, I. (2019). Load monitoring system in sport: Methods and applications.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Strength &amp; Conditioning Journal, 40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(2), 26–33.</w:t>
      </w:r>
    </w:p>
    <w:p w:rsidR="00000000" w:rsidDel="00000000" w:rsidP="00000000" w:rsidRDefault="00000000" w:rsidRPr="00000000" w14:paraId="0000001F">
      <w:pPr>
        <w:ind w:left="-54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Witvrouw E, Callaghan MJ, Stefanik JJ, Noehren B, Bazett-Jones DM, Willson JD, Earl-Boehm JE, Davis IS, Powers CM, McConnell J, Crossley KM. Patellofemoral pain: consensus statement from the 3rd International Patellofemoral Pain Research Retreat held in Vancouver, September 2013. Br J Sports Med. 2014 Mar;48(6):411-4. doi: 10.1136/bjsports-2014-093450. PMID: 24569145.</w:t>
      </w:r>
    </w:p>
    <w:sectPr>
      <w:pgSz w:h="15840" w:w="12240" w:orient="portrait"/>
      <w:pgMar w:bottom="540" w:top="720" w:left="1440" w:right="5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ungsuh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6304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6304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6304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6304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6304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6304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6304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6304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6304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6304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6304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6304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6304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6304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6304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6304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6304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6304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6304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6304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6304A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9630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6304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136/bjsports-2020-102614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i.org/10.1136/bjsports-2015-095788" TargetMode="External"/><Relationship Id="rId8" Type="http://schemas.openxmlformats.org/officeDocument/2006/relationships/hyperlink" Target="https://doi.org/10.1177/036354650426959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+Rw2Qszbug3mRa2TX5oM9dyBuw==">CgMxLjAaJQoBMBIgCh4IB0IaCg9UaW1lcyBOZXcgUm9tYW4SB0d1bmdzdWg4AHIhMUpRQ3FhbjBkNUNHTkVfUWZiSDVvN2lXVDhmUExoLUtm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2025-12-15T03:55:00Z</dcterms:created>
  <dc:creator>Jaison Philip</dc:creator>
</cp:coreProperties>
</file>