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360" w:hanging="810"/>
        <w:rPr/>
      </w:pPr>
      <w:r w:rsidDel="00000000" w:rsidR="00000000" w:rsidRPr="00000000">
        <w:rPr/>
        <w:drawing>
          <wp:inline distB="114300" distT="114300" distL="114300" distR="114300">
            <wp:extent cx="7339013" cy="598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013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34188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36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Metric Insights: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Jump Height, Peak Power, mRSI, Peak Velocity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are primary RFD metrics;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Distance Total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represents ME/GC (volume, efficiency).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Males (995, 755) typically show higher jump heights, power, and velocities.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Females diverge: Player 555 relies on tendon elasticity (high mRSI, lower power), while Player 741 exhibits force-dominant strategies (high power, low mRSI, more injury risk).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Literature supports sex differences: males show greater absolute output; females have more variation in efficiency strategy and injury risk when mRSI/efficiency is low.​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Recommended Actions: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males: monitor strength-load balance, avoid overuse by adjusting volume.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females: tailor interventions by profile—preserve elastic characteristics in high-efficiency athletes (555), improve neuromuscular control and landing mechanics in force-dominant/at-risk athletes (741).​</w:t>
      </w:r>
    </w:p>
    <w:p w:rsidR="00000000" w:rsidDel="00000000" w:rsidP="00000000" w:rsidRDefault="00000000" w:rsidRPr="00000000" w14:paraId="0000000B">
      <w:pPr>
        <w:ind w:left="-360" w:hanging="810"/>
        <w:rPr/>
      </w:pPr>
      <w:r w:rsidDel="00000000" w:rsidR="00000000" w:rsidRPr="00000000">
        <w:rPr>
          <w:rtl w:val="0"/>
        </w:rPr>
        <w:t xml:space="preserve">Jaison/Perplexity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30" w:top="450" w:left="153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