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1669" w14:textId="77777777" w:rsidR="007C4983" w:rsidRPr="007C4983" w:rsidRDefault="007C4983" w:rsidP="007C4983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  <w:r w:rsidRPr="007C4983">
        <w:rPr>
          <w:rFonts w:asciiTheme="majorHAnsi" w:hAnsiTheme="majorHAnsi"/>
          <w:b/>
          <w:bCs/>
          <w:sz w:val="20"/>
          <w:szCs w:val="20"/>
        </w:rPr>
        <w:t xml:space="preserve">References </w:t>
      </w:r>
      <w:proofErr w:type="gramStart"/>
      <w:r w:rsidRPr="007C4983">
        <w:rPr>
          <w:rFonts w:asciiTheme="majorHAnsi" w:hAnsiTheme="majorHAnsi"/>
          <w:b/>
          <w:bCs/>
          <w:sz w:val="20"/>
          <w:szCs w:val="20"/>
        </w:rPr>
        <w:t>in</w:t>
      </w:r>
      <w:proofErr w:type="gramEnd"/>
      <w:r w:rsidRPr="007C4983">
        <w:rPr>
          <w:rFonts w:asciiTheme="majorHAnsi" w:hAnsiTheme="majorHAnsi"/>
          <w:b/>
          <w:bCs/>
          <w:sz w:val="20"/>
          <w:szCs w:val="20"/>
        </w:rPr>
        <w:t xml:space="preserve"> AMA Format</w:t>
      </w:r>
    </w:p>
    <w:p w14:paraId="432FC00B" w14:textId="77777777" w:rsidR="007C4983" w:rsidRPr="007C4983" w:rsidRDefault="007C4983" w:rsidP="007C4983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  <w:r w:rsidRPr="007C4983">
        <w:rPr>
          <w:rFonts w:asciiTheme="majorHAnsi" w:hAnsiTheme="majorHAnsi"/>
          <w:b/>
          <w:bCs/>
          <w:sz w:val="20"/>
          <w:szCs w:val="20"/>
        </w:rPr>
        <w:t>Player 741</w:t>
      </w:r>
    </w:p>
    <w:p w14:paraId="19E73041" w14:textId="77777777" w:rsidR="007C4983" w:rsidRPr="007C4983" w:rsidRDefault="007C4983" w:rsidP="007C4983">
      <w:pPr>
        <w:numPr>
          <w:ilvl w:val="0"/>
          <w:numId w:val="1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7C4983">
        <w:rPr>
          <w:rFonts w:asciiTheme="majorHAnsi" w:hAnsiTheme="majorHAnsi"/>
          <w:sz w:val="20"/>
          <w:szCs w:val="20"/>
        </w:rPr>
        <w:t xml:space="preserve">Boden BP, Dean GS, Feagin JA Jr, Garrett WE Jr. Mechanisms of anterior cruciate ligament injury in professional athletes. </w:t>
      </w:r>
      <w:r w:rsidRPr="007C4983">
        <w:rPr>
          <w:rFonts w:asciiTheme="majorHAnsi" w:hAnsiTheme="majorHAnsi"/>
          <w:i/>
          <w:iCs/>
          <w:sz w:val="20"/>
          <w:szCs w:val="20"/>
        </w:rPr>
        <w:t>Am J Sports Med</w:t>
      </w:r>
      <w:r w:rsidRPr="007C4983">
        <w:rPr>
          <w:rFonts w:asciiTheme="majorHAnsi" w:hAnsiTheme="majorHAnsi"/>
          <w:sz w:val="20"/>
          <w:szCs w:val="20"/>
        </w:rPr>
        <w:t>. 2009;37(12):2439-2446.</w:t>
      </w:r>
    </w:p>
    <w:p w14:paraId="5532E150" w14:textId="77777777" w:rsidR="007C4983" w:rsidRPr="007C4983" w:rsidRDefault="007C4983" w:rsidP="007C4983">
      <w:pPr>
        <w:numPr>
          <w:ilvl w:val="0"/>
          <w:numId w:val="1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7C4983">
        <w:rPr>
          <w:rFonts w:asciiTheme="majorHAnsi" w:hAnsiTheme="majorHAnsi"/>
          <w:sz w:val="20"/>
          <w:szCs w:val="20"/>
        </w:rPr>
        <w:t xml:space="preserve">Hewett TE, Myer GD, Ford KR, et al. Biomechanical measures of neuromuscular control and valgus load on the knee predict anterior cruciate ligament injury risk in female athletes. </w:t>
      </w:r>
      <w:r w:rsidRPr="007C4983">
        <w:rPr>
          <w:rFonts w:asciiTheme="majorHAnsi" w:hAnsiTheme="majorHAnsi"/>
          <w:i/>
          <w:iCs/>
          <w:sz w:val="20"/>
          <w:szCs w:val="20"/>
        </w:rPr>
        <w:t>Am J Sports Med</w:t>
      </w:r>
      <w:r w:rsidRPr="007C4983">
        <w:rPr>
          <w:rFonts w:asciiTheme="majorHAnsi" w:hAnsiTheme="majorHAnsi"/>
          <w:sz w:val="20"/>
          <w:szCs w:val="20"/>
        </w:rPr>
        <w:t>. 2005;33(4):492-501.</w:t>
      </w:r>
    </w:p>
    <w:p w14:paraId="1BFAA0A4" w14:textId="77777777" w:rsidR="007C4983" w:rsidRPr="007C4983" w:rsidRDefault="007C4983" w:rsidP="007C4983">
      <w:pPr>
        <w:numPr>
          <w:ilvl w:val="0"/>
          <w:numId w:val="1"/>
        </w:num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7C4983">
        <w:rPr>
          <w:rFonts w:asciiTheme="majorHAnsi" w:hAnsiTheme="majorHAnsi"/>
          <w:sz w:val="20"/>
          <w:szCs w:val="20"/>
        </w:rPr>
        <w:t>Witvrouw</w:t>
      </w:r>
      <w:proofErr w:type="spellEnd"/>
      <w:r w:rsidRPr="007C4983">
        <w:rPr>
          <w:rFonts w:asciiTheme="majorHAnsi" w:hAnsiTheme="majorHAnsi"/>
          <w:sz w:val="20"/>
          <w:szCs w:val="20"/>
        </w:rPr>
        <w:t xml:space="preserve"> E, Callaghan MJ, Stefanik JJ, et al. Patellofemoral pain: consensus statement from the 3rd International Patellofemoral Pain Research Retreat. </w:t>
      </w:r>
      <w:r w:rsidRPr="007C4983">
        <w:rPr>
          <w:rFonts w:asciiTheme="majorHAnsi" w:hAnsiTheme="majorHAnsi"/>
          <w:i/>
          <w:iCs/>
          <w:sz w:val="20"/>
          <w:szCs w:val="20"/>
        </w:rPr>
        <w:t>Br J Sports Med</w:t>
      </w:r>
      <w:r w:rsidRPr="007C4983">
        <w:rPr>
          <w:rFonts w:asciiTheme="majorHAnsi" w:hAnsiTheme="majorHAnsi"/>
          <w:sz w:val="20"/>
          <w:szCs w:val="20"/>
        </w:rPr>
        <w:t>. 2014;48(6):411-414.</w:t>
      </w:r>
    </w:p>
    <w:p w14:paraId="78F1809A" w14:textId="77777777" w:rsidR="007C4983" w:rsidRPr="007C4983" w:rsidRDefault="007C4983" w:rsidP="007C4983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  <w:r w:rsidRPr="007C4983">
        <w:rPr>
          <w:rFonts w:asciiTheme="majorHAnsi" w:hAnsiTheme="majorHAnsi"/>
          <w:b/>
          <w:bCs/>
          <w:sz w:val="20"/>
          <w:szCs w:val="20"/>
        </w:rPr>
        <w:t>Player 555</w:t>
      </w:r>
    </w:p>
    <w:p w14:paraId="63DF89A8" w14:textId="77777777" w:rsidR="007C4983" w:rsidRPr="007C4983" w:rsidRDefault="007C4983" w:rsidP="007C4983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7C4983">
        <w:rPr>
          <w:rFonts w:asciiTheme="majorHAnsi" w:hAnsiTheme="majorHAnsi"/>
          <w:sz w:val="20"/>
          <w:szCs w:val="20"/>
        </w:rPr>
        <w:t xml:space="preserve">Rio E, </w:t>
      </w:r>
      <w:proofErr w:type="spellStart"/>
      <w:r w:rsidRPr="007C4983">
        <w:rPr>
          <w:rFonts w:asciiTheme="majorHAnsi" w:hAnsiTheme="majorHAnsi"/>
          <w:sz w:val="20"/>
          <w:szCs w:val="20"/>
        </w:rPr>
        <w:t>Kidgell</w:t>
      </w:r>
      <w:proofErr w:type="spellEnd"/>
      <w:r w:rsidRPr="007C4983">
        <w:rPr>
          <w:rFonts w:asciiTheme="majorHAnsi" w:hAnsiTheme="majorHAnsi"/>
          <w:sz w:val="20"/>
          <w:szCs w:val="20"/>
        </w:rPr>
        <w:t xml:space="preserve"> D, </w:t>
      </w:r>
      <w:proofErr w:type="spellStart"/>
      <w:r w:rsidRPr="007C4983">
        <w:rPr>
          <w:rFonts w:asciiTheme="majorHAnsi" w:hAnsiTheme="majorHAnsi"/>
          <w:sz w:val="20"/>
          <w:szCs w:val="20"/>
        </w:rPr>
        <w:t>Purdam</w:t>
      </w:r>
      <w:proofErr w:type="spellEnd"/>
      <w:r w:rsidRPr="007C4983">
        <w:rPr>
          <w:rFonts w:asciiTheme="majorHAnsi" w:hAnsiTheme="majorHAnsi"/>
          <w:sz w:val="20"/>
          <w:szCs w:val="20"/>
        </w:rPr>
        <w:t xml:space="preserve"> C, et al. Tendon neuroplasticity: responses to loading and strategies to improve mechanotherapy. </w:t>
      </w:r>
      <w:r w:rsidRPr="007C4983">
        <w:rPr>
          <w:rFonts w:asciiTheme="majorHAnsi" w:hAnsiTheme="majorHAnsi"/>
          <w:i/>
          <w:iCs/>
          <w:sz w:val="20"/>
          <w:szCs w:val="20"/>
        </w:rPr>
        <w:t xml:space="preserve">J </w:t>
      </w:r>
      <w:proofErr w:type="spellStart"/>
      <w:r w:rsidRPr="007C4983">
        <w:rPr>
          <w:rFonts w:asciiTheme="majorHAnsi" w:hAnsiTheme="majorHAnsi"/>
          <w:i/>
          <w:iCs/>
          <w:sz w:val="20"/>
          <w:szCs w:val="20"/>
        </w:rPr>
        <w:t>Orthop</w:t>
      </w:r>
      <w:proofErr w:type="spellEnd"/>
      <w:r w:rsidRPr="007C4983">
        <w:rPr>
          <w:rFonts w:asciiTheme="majorHAnsi" w:hAnsiTheme="majorHAnsi"/>
          <w:i/>
          <w:iCs/>
          <w:sz w:val="20"/>
          <w:szCs w:val="20"/>
        </w:rPr>
        <w:t xml:space="preserve"> Sports Phys Ther</w:t>
      </w:r>
      <w:r w:rsidRPr="007C4983">
        <w:rPr>
          <w:rFonts w:asciiTheme="majorHAnsi" w:hAnsiTheme="majorHAnsi"/>
          <w:sz w:val="20"/>
          <w:szCs w:val="20"/>
        </w:rPr>
        <w:t>. 2015;45(11):842-852.</w:t>
      </w:r>
    </w:p>
    <w:p w14:paraId="11B0D9A9" w14:textId="77777777" w:rsidR="007C4983" w:rsidRPr="007C4983" w:rsidRDefault="007C4983" w:rsidP="007C4983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7C4983">
        <w:rPr>
          <w:rFonts w:asciiTheme="majorHAnsi" w:hAnsiTheme="majorHAnsi"/>
          <w:sz w:val="20"/>
          <w:szCs w:val="20"/>
        </w:rPr>
        <w:t xml:space="preserve">Kvist M. Achilles tendon injuries in athletes. </w:t>
      </w:r>
      <w:r w:rsidRPr="007C4983">
        <w:rPr>
          <w:rFonts w:asciiTheme="majorHAnsi" w:hAnsiTheme="majorHAnsi"/>
          <w:i/>
          <w:iCs/>
          <w:sz w:val="20"/>
          <w:szCs w:val="20"/>
        </w:rPr>
        <w:t>Sports Med</w:t>
      </w:r>
      <w:r w:rsidRPr="007C4983">
        <w:rPr>
          <w:rFonts w:asciiTheme="majorHAnsi" w:hAnsiTheme="majorHAnsi"/>
          <w:sz w:val="20"/>
          <w:szCs w:val="20"/>
        </w:rPr>
        <w:t>. 1994;18(3):173-201.</w:t>
      </w:r>
    </w:p>
    <w:p w14:paraId="489AE3E3" w14:textId="77777777" w:rsidR="007C4983" w:rsidRPr="007C4983" w:rsidRDefault="007C4983" w:rsidP="007C4983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7C4983">
        <w:rPr>
          <w:rFonts w:asciiTheme="majorHAnsi" w:hAnsiTheme="majorHAnsi"/>
          <w:sz w:val="20"/>
          <w:szCs w:val="20"/>
        </w:rPr>
        <w:t xml:space="preserve">Askling CM, Karlsson J, Thorstensson A. Hamstring injury occurrence in elite soccer players after preseason strength training with eccentric overload. </w:t>
      </w:r>
      <w:r w:rsidRPr="007C4983">
        <w:rPr>
          <w:rFonts w:asciiTheme="majorHAnsi" w:hAnsiTheme="majorHAnsi"/>
          <w:i/>
          <w:iCs/>
          <w:sz w:val="20"/>
          <w:szCs w:val="20"/>
        </w:rPr>
        <w:t>Scand J Med Sci Sports</w:t>
      </w:r>
      <w:r w:rsidRPr="007C4983">
        <w:rPr>
          <w:rFonts w:asciiTheme="majorHAnsi" w:hAnsiTheme="majorHAnsi"/>
          <w:sz w:val="20"/>
          <w:szCs w:val="20"/>
        </w:rPr>
        <w:t>. 2003;13(4):244-250.</w:t>
      </w:r>
    </w:p>
    <w:p w14:paraId="79255DD8" w14:textId="77777777" w:rsidR="007C4983" w:rsidRPr="007C4983" w:rsidRDefault="007C4983" w:rsidP="007C4983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  <w:r w:rsidRPr="007C4983">
        <w:rPr>
          <w:rFonts w:asciiTheme="majorHAnsi" w:hAnsiTheme="majorHAnsi"/>
          <w:b/>
          <w:bCs/>
          <w:sz w:val="20"/>
          <w:szCs w:val="20"/>
        </w:rPr>
        <w:t>Players 755 and 995</w:t>
      </w:r>
    </w:p>
    <w:p w14:paraId="298E1444" w14:textId="77777777" w:rsidR="007C4983" w:rsidRPr="007C4983" w:rsidRDefault="007C4983" w:rsidP="007C4983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7C4983">
        <w:rPr>
          <w:rFonts w:asciiTheme="majorHAnsi" w:hAnsiTheme="majorHAnsi"/>
          <w:sz w:val="20"/>
          <w:szCs w:val="20"/>
        </w:rPr>
        <w:t>Witvrouw</w:t>
      </w:r>
      <w:proofErr w:type="spellEnd"/>
      <w:r w:rsidRPr="007C4983">
        <w:rPr>
          <w:rFonts w:asciiTheme="majorHAnsi" w:hAnsiTheme="majorHAnsi"/>
          <w:sz w:val="20"/>
          <w:szCs w:val="20"/>
        </w:rPr>
        <w:t xml:space="preserve"> E, Callaghan MJ, Stefanik JJ, et al. Patellofemoral pain: consensus statement from the 3rd International Patellofemoral Pain Research Retreat. </w:t>
      </w:r>
      <w:r w:rsidRPr="007C4983">
        <w:rPr>
          <w:rFonts w:asciiTheme="majorHAnsi" w:hAnsiTheme="majorHAnsi"/>
          <w:i/>
          <w:iCs/>
          <w:sz w:val="20"/>
          <w:szCs w:val="20"/>
        </w:rPr>
        <w:t>Br J Sports Med</w:t>
      </w:r>
      <w:r w:rsidRPr="007C4983">
        <w:rPr>
          <w:rFonts w:asciiTheme="majorHAnsi" w:hAnsiTheme="majorHAnsi"/>
          <w:sz w:val="20"/>
          <w:szCs w:val="20"/>
        </w:rPr>
        <w:t>. 2014;48(6):411-414.</w:t>
      </w:r>
    </w:p>
    <w:p w14:paraId="4AAC44A7" w14:textId="77777777" w:rsidR="007C4983" w:rsidRPr="007C4983" w:rsidRDefault="007C4983" w:rsidP="007C4983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7C4983">
        <w:rPr>
          <w:rFonts w:asciiTheme="majorHAnsi" w:hAnsiTheme="majorHAnsi"/>
          <w:sz w:val="20"/>
          <w:szCs w:val="20"/>
        </w:rPr>
        <w:t>Chumanov</w:t>
      </w:r>
      <w:proofErr w:type="spellEnd"/>
      <w:r w:rsidRPr="007C4983">
        <w:rPr>
          <w:rFonts w:asciiTheme="majorHAnsi" w:hAnsiTheme="majorHAnsi"/>
          <w:sz w:val="20"/>
          <w:szCs w:val="20"/>
        </w:rPr>
        <w:t xml:space="preserve"> ES, Heiderscheit BC, Thelen DG. Hamstring musculotendon dynamics during running. </w:t>
      </w:r>
      <w:r w:rsidRPr="007C4983">
        <w:rPr>
          <w:rFonts w:asciiTheme="majorHAnsi" w:hAnsiTheme="majorHAnsi"/>
          <w:i/>
          <w:iCs/>
          <w:sz w:val="20"/>
          <w:szCs w:val="20"/>
        </w:rPr>
        <w:t xml:space="preserve">Med Sci Sports </w:t>
      </w:r>
      <w:proofErr w:type="spellStart"/>
      <w:r w:rsidRPr="007C4983">
        <w:rPr>
          <w:rFonts w:asciiTheme="majorHAnsi" w:hAnsiTheme="majorHAnsi"/>
          <w:i/>
          <w:iCs/>
          <w:sz w:val="20"/>
          <w:szCs w:val="20"/>
        </w:rPr>
        <w:t>Exerc</w:t>
      </w:r>
      <w:proofErr w:type="spellEnd"/>
      <w:r w:rsidRPr="007C4983">
        <w:rPr>
          <w:rFonts w:asciiTheme="majorHAnsi" w:hAnsiTheme="majorHAnsi"/>
          <w:sz w:val="20"/>
          <w:szCs w:val="20"/>
        </w:rPr>
        <w:t>. 2011;43(6):1092-1100.</w:t>
      </w:r>
    </w:p>
    <w:p w14:paraId="4DD28D3D" w14:textId="77777777" w:rsidR="007C4983" w:rsidRPr="007C4983" w:rsidRDefault="007C4983" w:rsidP="007C4983">
      <w:pPr>
        <w:spacing w:line="240" w:lineRule="auto"/>
        <w:rPr>
          <w:rFonts w:asciiTheme="majorHAnsi" w:hAnsiTheme="majorHAnsi"/>
          <w:b/>
          <w:bCs/>
          <w:sz w:val="20"/>
          <w:szCs w:val="20"/>
        </w:rPr>
      </w:pPr>
      <w:r w:rsidRPr="007C4983">
        <w:rPr>
          <w:rFonts w:asciiTheme="majorHAnsi" w:hAnsiTheme="majorHAnsi"/>
          <w:b/>
          <w:bCs/>
          <w:sz w:val="20"/>
          <w:szCs w:val="20"/>
        </w:rPr>
        <w:t>All 4 Players</w:t>
      </w:r>
    </w:p>
    <w:p w14:paraId="21813D72" w14:textId="77777777" w:rsidR="007C4983" w:rsidRPr="007C4983" w:rsidRDefault="007C4983" w:rsidP="007C4983">
      <w:pPr>
        <w:numPr>
          <w:ilvl w:val="0"/>
          <w:numId w:val="4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7C4983">
        <w:rPr>
          <w:rFonts w:asciiTheme="majorHAnsi" w:hAnsiTheme="majorHAnsi"/>
          <w:sz w:val="20"/>
          <w:szCs w:val="20"/>
        </w:rPr>
        <w:t xml:space="preserve">Hewett TE, Myer GD, Ford KR, et al. Biomechanical measures of neuromuscular control and valgus load on the knee predict ACL injury risk in female athletes. </w:t>
      </w:r>
      <w:r w:rsidRPr="007C4983">
        <w:rPr>
          <w:rFonts w:asciiTheme="majorHAnsi" w:hAnsiTheme="majorHAnsi"/>
          <w:i/>
          <w:iCs/>
          <w:sz w:val="20"/>
          <w:szCs w:val="20"/>
        </w:rPr>
        <w:t>Am J Sports Med</w:t>
      </w:r>
      <w:r w:rsidRPr="007C4983">
        <w:rPr>
          <w:rFonts w:asciiTheme="majorHAnsi" w:hAnsiTheme="majorHAnsi"/>
          <w:sz w:val="20"/>
          <w:szCs w:val="20"/>
        </w:rPr>
        <w:t>. 2005;33(4):492-501.</w:t>
      </w:r>
    </w:p>
    <w:p w14:paraId="761F018C" w14:textId="77777777" w:rsidR="007C4983" w:rsidRPr="007C4983" w:rsidRDefault="007C4983" w:rsidP="007C4983">
      <w:pPr>
        <w:numPr>
          <w:ilvl w:val="0"/>
          <w:numId w:val="4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7C4983">
        <w:rPr>
          <w:rFonts w:asciiTheme="majorHAnsi" w:hAnsiTheme="majorHAnsi"/>
          <w:sz w:val="20"/>
          <w:szCs w:val="20"/>
        </w:rPr>
        <w:t xml:space="preserve">Gabbett TJ. The </w:t>
      </w:r>
      <w:proofErr w:type="gramStart"/>
      <w:r w:rsidRPr="007C4983">
        <w:rPr>
          <w:rFonts w:asciiTheme="majorHAnsi" w:hAnsiTheme="majorHAnsi"/>
          <w:sz w:val="20"/>
          <w:szCs w:val="20"/>
        </w:rPr>
        <w:t>training-injury</w:t>
      </w:r>
      <w:proofErr w:type="gramEnd"/>
      <w:r w:rsidRPr="007C4983">
        <w:rPr>
          <w:rFonts w:asciiTheme="majorHAnsi" w:hAnsiTheme="majorHAnsi"/>
          <w:sz w:val="20"/>
          <w:szCs w:val="20"/>
        </w:rPr>
        <w:t xml:space="preserve"> prevention paradox: should athletes be </w:t>
      </w:r>
      <w:proofErr w:type="gramStart"/>
      <w:r w:rsidRPr="007C4983">
        <w:rPr>
          <w:rFonts w:asciiTheme="majorHAnsi" w:hAnsiTheme="majorHAnsi"/>
          <w:sz w:val="20"/>
          <w:szCs w:val="20"/>
        </w:rPr>
        <w:t>training</w:t>
      </w:r>
      <w:proofErr w:type="gramEnd"/>
      <w:r w:rsidRPr="007C4983">
        <w:rPr>
          <w:rFonts w:asciiTheme="majorHAnsi" w:hAnsiTheme="majorHAnsi"/>
          <w:sz w:val="20"/>
          <w:szCs w:val="20"/>
        </w:rPr>
        <w:t xml:space="preserve"> smarter and harder? </w:t>
      </w:r>
      <w:r w:rsidRPr="007C4983">
        <w:rPr>
          <w:rFonts w:asciiTheme="majorHAnsi" w:hAnsiTheme="majorHAnsi"/>
          <w:i/>
          <w:iCs/>
          <w:sz w:val="20"/>
          <w:szCs w:val="20"/>
        </w:rPr>
        <w:t>Br J Sports Med</w:t>
      </w:r>
      <w:r w:rsidRPr="007C4983">
        <w:rPr>
          <w:rFonts w:asciiTheme="majorHAnsi" w:hAnsiTheme="majorHAnsi"/>
          <w:sz w:val="20"/>
          <w:szCs w:val="20"/>
        </w:rPr>
        <w:t>. 2016;50(5):273-280.</w:t>
      </w:r>
    </w:p>
    <w:p w14:paraId="1E8B4E79" w14:textId="77777777" w:rsidR="007C4983" w:rsidRPr="007C4983" w:rsidRDefault="007C4983" w:rsidP="007C4983">
      <w:pPr>
        <w:numPr>
          <w:ilvl w:val="0"/>
          <w:numId w:val="4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7C4983">
        <w:rPr>
          <w:rFonts w:asciiTheme="majorHAnsi" w:hAnsiTheme="majorHAnsi"/>
          <w:sz w:val="20"/>
          <w:szCs w:val="20"/>
        </w:rPr>
        <w:t xml:space="preserve">Rio E, </w:t>
      </w:r>
      <w:proofErr w:type="spellStart"/>
      <w:r w:rsidRPr="007C4983">
        <w:rPr>
          <w:rFonts w:asciiTheme="majorHAnsi" w:hAnsiTheme="majorHAnsi"/>
          <w:sz w:val="20"/>
          <w:szCs w:val="20"/>
        </w:rPr>
        <w:t>Kidgell</w:t>
      </w:r>
      <w:proofErr w:type="spellEnd"/>
      <w:r w:rsidRPr="007C4983">
        <w:rPr>
          <w:rFonts w:asciiTheme="majorHAnsi" w:hAnsiTheme="majorHAnsi"/>
          <w:sz w:val="20"/>
          <w:szCs w:val="20"/>
        </w:rPr>
        <w:t xml:space="preserve"> D, </w:t>
      </w:r>
      <w:proofErr w:type="spellStart"/>
      <w:r w:rsidRPr="007C4983">
        <w:rPr>
          <w:rFonts w:asciiTheme="majorHAnsi" w:hAnsiTheme="majorHAnsi"/>
          <w:sz w:val="20"/>
          <w:szCs w:val="20"/>
        </w:rPr>
        <w:t>Purdam</w:t>
      </w:r>
      <w:proofErr w:type="spellEnd"/>
      <w:r w:rsidRPr="007C4983">
        <w:rPr>
          <w:rFonts w:asciiTheme="majorHAnsi" w:hAnsiTheme="majorHAnsi"/>
          <w:sz w:val="20"/>
          <w:szCs w:val="20"/>
        </w:rPr>
        <w:t xml:space="preserve"> C, et al. Tendon neuroplasticity: responses to loading and strategies to improve mechanotherapy. </w:t>
      </w:r>
      <w:r w:rsidRPr="007C4983">
        <w:rPr>
          <w:rFonts w:asciiTheme="majorHAnsi" w:hAnsiTheme="majorHAnsi"/>
          <w:i/>
          <w:iCs/>
          <w:sz w:val="20"/>
          <w:szCs w:val="20"/>
        </w:rPr>
        <w:t xml:space="preserve">J </w:t>
      </w:r>
      <w:proofErr w:type="spellStart"/>
      <w:r w:rsidRPr="007C4983">
        <w:rPr>
          <w:rFonts w:asciiTheme="majorHAnsi" w:hAnsiTheme="majorHAnsi"/>
          <w:i/>
          <w:iCs/>
          <w:sz w:val="20"/>
          <w:szCs w:val="20"/>
        </w:rPr>
        <w:t>Orthop</w:t>
      </w:r>
      <w:proofErr w:type="spellEnd"/>
      <w:r w:rsidRPr="007C4983">
        <w:rPr>
          <w:rFonts w:asciiTheme="majorHAnsi" w:hAnsiTheme="majorHAnsi"/>
          <w:i/>
          <w:iCs/>
          <w:sz w:val="20"/>
          <w:szCs w:val="20"/>
        </w:rPr>
        <w:t xml:space="preserve"> Sports Phys Ther</w:t>
      </w:r>
      <w:r w:rsidRPr="007C4983">
        <w:rPr>
          <w:rFonts w:asciiTheme="majorHAnsi" w:hAnsiTheme="majorHAnsi"/>
          <w:sz w:val="20"/>
          <w:szCs w:val="20"/>
        </w:rPr>
        <w:t>. 2015;45(11):842-852.</w:t>
      </w:r>
    </w:p>
    <w:p w14:paraId="614E401C" w14:textId="77777777" w:rsidR="007C4983" w:rsidRPr="007C4983" w:rsidRDefault="007C4983" w:rsidP="007C4983">
      <w:pPr>
        <w:numPr>
          <w:ilvl w:val="0"/>
          <w:numId w:val="4"/>
        </w:numPr>
        <w:spacing w:line="240" w:lineRule="auto"/>
        <w:rPr>
          <w:rFonts w:asciiTheme="majorHAnsi" w:hAnsiTheme="majorHAnsi"/>
          <w:sz w:val="20"/>
          <w:szCs w:val="20"/>
        </w:rPr>
      </w:pPr>
      <w:r w:rsidRPr="007C4983">
        <w:rPr>
          <w:rFonts w:asciiTheme="majorHAnsi" w:hAnsiTheme="majorHAnsi"/>
          <w:sz w:val="20"/>
          <w:szCs w:val="20"/>
        </w:rPr>
        <w:t xml:space="preserve">Boden BP, Dean GS, Feagin JA Jr, Garrett WE Jr. Mechanisms of anterior cruciate ligament injury in professional athletes. </w:t>
      </w:r>
      <w:r w:rsidRPr="007C4983">
        <w:rPr>
          <w:rFonts w:asciiTheme="majorHAnsi" w:hAnsiTheme="majorHAnsi"/>
          <w:i/>
          <w:iCs/>
          <w:sz w:val="20"/>
          <w:szCs w:val="20"/>
        </w:rPr>
        <w:t>Am J Sports Med</w:t>
      </w:r>
      <w:r w:rsidRPr="007C4983">
        <w:rPr>
          <w:rFonts w:asciiTheme="majorHAnsi" w:hAnsiTheme="majorHAnsi"/>
          <w:sz w:val="20"/>
          <w:szCs w:val="20"/>
        </w:rPr>
        <w:t>. 2009;37(12):2439-2446.</w:t>
      </w:r>
    </w:p>
    <w:p w14:paraId="3BC37ADE" w14:textId="77777777" w:rsidR="007C4983" w:rsidRPr="007C4983" w:rsidRDefault="007C4983" w:rsidP="007C4983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1. Xu J, Turner A, Comfort P, Harry JR, McMahon JJ, Chavda S, Bishop C. A systematic review of the different calculation methods for measuring jump height during the countermovement and drop jump tests. *Sports Med.* 2023;53(6):1123-1142. doi:10.1007/s40279-023-01828-x </w:t>
      </w:r>
    </w:p>
    <w:p w14:paraId="554D59A2" w14:textId="77777777" w:rsidR="007C4983" w:rsidRPr="007C4983" w:rsidRDefault="007C4983" w:rsidP="007C4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</w:p>
    <w:p w14:paraId="13748488" w14:textId="77777777" w:rsidR="007C4983" w:rsidRPr="007C4983" w:rsidRDefault="007C4983" w:rsidP="007C4983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2. de Ruiter CJ, Haller S, van den Hoff TJA, Wilmes E. On-field concurrent validity of flight time-based countermovement jump height during fatigue: A comparison between inertial measurement units worn at different body locations. *J Sports Sci.* 2024;42(19):1859-1866. doi:10.1080/02640414.2024.2415745 </w:t>
      </w:r>
    </w:p>
    <w:p w14:paraId="780CFF5D" w14:textId="77777777" w:rsidR="007C4983" w:rsidRPr="007C4983" w:rsidRDefault="007C4983" w:rsidP="007C498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</w:p>
    <w:p w14:paraId="25AD8833" w14:textId="77777777" w:rsidR="007C4983" w:rsidRPr="007C4983" w:rsidRDefault="007C4983" w:rsidP="007C4983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3. Mohr PA, Bishop C, Dal Pupo J. Variation in countermovement jump metrics following competitive soccer matches throughout a season in professional players. *Sport Sci </w:t>
      </w:r>
      <w:proofErr w:type="gram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Health.*</w:t>
      </w:r>
      <w:proofErr w:type="gram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 2025;21:3051-3059. doi:10.1007/s11332-025-01514-7 </w:t>
      </w:r>
    </w:p>
    <w:p w14:paraId="0D4ED849" w14:textId="77777777" w:rsidR="007C4983" w:rsidRPr="007C4983" w:rsidRDefault="007C4983" w:rsidP="007C498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</w:p>
    <w:p w14:paraId="24CC0E23" w14:textId="77777777" w:rsidR="007C4983" w:rsidRPr="007C4983" w:rsidRDefault="007C4983" w:rsidP="007C4983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lastRenderedPageBreak/>
        <w:t xml:space="preserve">4. Jaén-Carrillo D, García-Pinillos F, Alcaraz PE, Marín-Pagán C, Martínez-Noguera FJ, Federolf PA. Jump performance and handgrip strength do not reflect acute fatigue in elite trail runners after the 2023 World Trail Running Championship. *Front Sports Act </w:t>
      </w:r>
      <w:proofErr w:type="gram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Living.*</w:t>
      </w:r>
      <w:proofErr w:type="gram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 2025;7:1506067. doi:10.3389/fspor.2025.1506067 </w:t>
      </w:r>
    </w:p>
    <w:p w14:paraId="43470F3C" w14:textId="77777777" w:rsidR="007C4983" w:rsidRPr="007C4983" w:rsidRDefault="007C4983" w:rsidP="007C498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</w:p>
    <w:p w14:paraId="18204552" w14:textId="77777777" w:rsidR="007C4983" w:rsidRPr="007C4983" w:rsidRDefault="007C4983" w:rsidP="007C4983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5. Williams C, Sullivan K, Kim C, Winchester LJ, Fedewa MV. Using force plates to monitor the recovery of vertical jump performance after strenuous exercise: A systematic review and meta-analysis. *J </w:t>
      </w:r>
      <w:proofErr w:type="spell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Funct</w:t>
      </w:r>
      <w:proofErr w:type="spell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Morphol</w:t>
      </w:r>
      <w:proofErr w:type="spell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Kinesiol.*</w:t>
      </w:r>
      <w:proofErr w:type="gram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 2025;10(2):230. doi:10.3390/jfmk10020230 </w:t>
      </w:r>
    </w:p>
    <w:p w14:paraId="29100A12" w14:textId="77777777" w:rsidR="007C4983" w:rsidRPr="007C4983" w:rsidRDefault="007C4983" w:rsidP="007C498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</w:p>
    <w:p w14:paraId="675F1F9D" w14:textId="77777777" w:rsidR="007C4983" w:rsidRPr="007C4983" w:rsidRDefault="007C4983" w:rsidP="007C4983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6. </w:t>
      </w:r>
      <w:proofErr w:type="spell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Dos’Santos</w:t>
      </w:r>
      <w:proofErr w:type="spell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 T, McBurnie A, Thomas C, Comfort P, Jones PA. Biomechanical determinants of the modified and traditional 505 change of direction speed test. *J Strength Cond Res.* 2019;33(12):3266-3273. doi:10.1519/JSC.0000000000002956 </w:t>
      </w:r>
    </w:p>
    <w:p w14:paraId="474CCA63" w14:textId="77777777" w:rsidR="007C4983" w:rsidRPr="007C4983" w:rsidRDefault="007C4983" w:rsidP="007C498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</w:p>
    <w:p w14:paraId="67FD1792" w14:textId="77777777" w:rsidR="007C4983" w:rsidRPr="007C4983" w:rsidRDefault="007C4983" w:rsidP="007C4983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7. Morel B, Lapole T, Liotard C, </w:t>
      </w:r>
      <w:proofErr w:type="spell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Hautier</w:t>
      </w:r>
      <w:proofErr w:type="spell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 C. Critical peripheral fatigue thresholds among different force-velocity conditions: An individual-based model approach. *Front Physiol.* </w:t>
      </w:r>
      <w:proofErr w:type="gram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2019;10:875</w:t>
      </w:r>
      <w:proofErr w:type="gram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. doi:10.3389/fphys.2019.00875 </w:t>
      </w:r>
    </w:p>
    <w:p w14:paraId="737E338C" w14:textId="77777777" w:rsidR="007C4983" w:rsidRPr="007C4983" w:rsidRDefault="007C4983" w:rsidP="007C498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</w:p>
    <w:p w14:paraId="4B8C7732" w14:textId="77777777" w:rsidR="007C4983" w:rsidRPr="007C4983" w:rsidRDefault="007C4983" w:rsidP="007C4983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8. Bourdon PC, Cardinale M, Murray A, et al. Monitoring athlete training loads: Consensus statement. *Int J Sports </w:t>
      </w:r>
      <w:proofErr w:type="spell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Physiol</w:t>
      </w:r>
      <w:proofErr w:type="spell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Perform.*</w:t>
      </w:r>
      <w:proofErr w:type="gram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 2017;12(Suppl 2</w:t>
      </w:r>
      <w:proofErr w:type="gram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):S</w:t>
      </w:r>
      <w:proofErr w:type="gram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216-S227. doi:10.1123/IJSPP.2017-0208 </w:t>
      </w:r>
    </w:p>
    <w:p w14:paraId="66C5A462" w14:textId="77777777" w:rsidR="007C4983" w:rsidRPr="007C4983" w:rsidRDefault="007C4983" w:rsidP="007C498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</w:p>
    <w:p w14:paraId="47404108" w14:textId="77777777" w:rsidR="007C4983" w:rsidRPr="007C4983" w:rsidRDefault="007C4983" w:rsidP="007C4983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9. Gabbett TJ. The training-injury prevention paradox: Should athletes be </w:t>
      </w:r>
      <w:proofErr w:type="gramStart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>training</w:t>
      </w:r>
      <w:proofErr w:type="gramEnd"/>
      <w:r w:rsidRPr="007C4983"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  <w:t xml:space="preserve"> smarter and harder? *Br J Sports Med.* 2016;50(5):273-280. doi:10.1136/bjsports-2015-095788 </w:t>
      </w:r>
    </w:p>
    <w:p w14:paraId="78189BD7" w14:textId="77777777" w:rsidR="007C4983" w:rsidRPr="007C4983" w:rsidRDefault="007C4983" w:rsidP="007C4983">
      <w:pPr>
        <w:spacing w:line="240" w:lineRule="auto"/>
        <w:rPr>
          <w:rFonts w:asciiTheme="majorHAnsi" w:hAnsiTheme="majorHAnsi"/>
          <w:sz w:val="20"/>
          <w:szCs w:val="20"/>
        </w:rPr>
      </w:pPr>
    </w:p>
    <w:sectPr w:rsidR="007C4983" w:rsidRPr="007C4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B00B4"/>
    <w:multiLevelType w:val="multilevel"/>
    <w:tmpl w:val="3E7A30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2D4BC6"/>
    <w:multiLevelType w:val="multilevel"/>
    <w:tmpl w:val="414A3A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5872CC"/>
    <w:multiLevelType w:val="multilevel"/>
    <w:tmpl w:val="7BCE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0C56FD"/>
    <w:multiLevelType w:val="multilevel"/>
    <w:tmpl w:val="EBD01C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443565">
    <w:abstractNumId w:val="2"/>
  </w:num>
  <w:num w:numId="2" w16cid:durableId="1837380227">
    <w:abstractNumId w:val="0"/>
  </w:num>
  <w:num w:numId="3" w16cid:durableId="2006785317">
    <w:abstractNumId w:val="3"/>
  </w:num>
  <w:num w:numId="4" w16cid:durableId="2088452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83"/>
    <w:rsid w:val="007C4983"/>
    <w:rsid w:val="00EE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2916"/>
  <w15:chartTrackingRefBased/>
  <w15:docId w15:val="{61364659-6559-48EC-9346-F73DD24C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8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98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Jaison Philip</dc:creator>
  <cp:keywords/>
  <dc:description/>
  <cp:lastModifiedBy>Jaison Philip</cp:lastModifiedBy>
  <cp:revision>1</cp:revision>
  <dcterms:created xsi:type="dcterms:W3CDTF">2025-12-16T18:32:00Z</dcterms:created>
  <dcterms:modified xsi:type="dcterms:W3CDTF">2025-12-16T18:35:00Z</dcterms:modified>
</cp:coreProperties>
</file>