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BE66" w14:textId="6F19F67F" w:rsidR="00962D41" w:rsidRDefault="00D7233E" w:rsidP="00747BA9">
      <w:pPr>
        <w:spacing w:line="240" w:lineRule="auto"/>
        <w:ind w:hanging="630"/>
        <w:jc w:val="center"/>
        <w:rPr>
          <w:rFonts w:ascii="Arial" w:hAnsi="Arial" w:cs="Arial"/>
          <w:b/>
          <w:bCs/>
          <w:i/>
          <w:iCs/>
          <w:noProof/>
          <w:u w:val="single"/>
        </w:rPr>
      </w:pPr>
      <w:r w:rsidRPr="00D7233E">
        <w:rPr>
          <w:rFonts w:ascii="Arial" w:hAnsi="Arial" w:cs="Arial"/>
          <w:b/>
          <w:bCs/>
          <w:i/>
          <w:iCs/>
          <w:noProof/>
          <w:u w:val="single"/>
        </w:rPr>
        <w:t>6 metrics (Peak Propulsive Power, Jump Height, Peak Velocity, Speed_max, Distance_total, Reactive Strength Index/RSI), focusing on their relevance to sports, sports medicine, and physiology</w:t>
      </w:r>
      <w:r w:rsidR="007F282C">
        <w:rPr>
          <w:rFonts w:ascii="Arial" w:hAnsi="Arial" w:cs="Arial"/>
          <w:b/>
          <w:bCs/>
          <w:i/>
          <w:iCs/>
          <w:noProof/>
          <w:u w:val="single"/>
        </w:rPr>
        <w:t xml:space="preserve"> (non exhaustive) brief analysis</w:t>
      </w:r>
    </w:p>
    <w:p w14:paraId="0EBD5177" w14:textId="77777777" w:rsidR="006D34A9" w:rsidRDefault="006D34A9" w:rsidP="00747BA9">
      <w:pPr>
        <w:spacing w:line="240" w:lineRule="auto"/>
        <w:ind w:hanging="630"/>
        <w:jc w:val="center"/>
        <w:rPr>
          <w:rFonts w:ascii="Arial" w:hAnsi="Arial" w:cs="Arial"/>
          <w:b/>
          <w:bCs/>
          <w:i/>
          <w:iCs/>
          <w:noProof/>
          <w:u w:val="single"/>
        </w:rPr>
      </w:pPr>
    </w:p>
    <w:p w14:paraId="43A77503" w14:textId="77777777" w:rsidR="006D34A9" w:rsidRDefault="006D34A9" w:rsidP="00747BA9">
      <w:pPr>
        <w:spacing w:line="240" w:lineRule="auto"/>
        <w:ind w:hanging="630"/>
        <w:jc w:val="center"/>
        <w:rPr>
          <w:rFonts w:ascii="Arial" w:hAnsi="Arial" w:cs="Arial"/>
          <w:b/>
          <w:bCs/>
          <w:i/>
          <w:iCs/>
          <w:noProof/>
          <w:u w:val="single"/>
        </w:rPr>
      </w:pPr>
    </w:p>
    <w:p w14:paraId="2AD04253" w14:textId="7B48152C" w:rsidR="00D7233E" w:rsidRDefault="00747BA9" w:rsidP="00962D41">
      <w:pPr>
        <w:ind w:hanging="630"/>
        <w:rPr>
          <w:rFonts w:ascii="Arial" w:hAnsi="Arial" w:cs="Arial"/>
          <w:b/>
          <w:bCs/>
          <w:i/>
          <w:iCs/>
          <w:noProof/>
          <w:u w:val="single"/>
        </w:rPr>
      </w:pPr>
      <w:r>
        <w:rPr>
          <w:rFonts w:ascii="Arial" w:hAnsi="Arial" w:cs="Arial"/>
          <w:b/>
          <w:bCs/>
          <w:i/>
          <w:iCs/>
          <w:noProof/>
          <w:u w:val="single"/>
        </w:rPr>
        <w:t>A .</w:t>
      </w:r>
      <w:r w:rsidR="00D7233E">
        <w:rPr>
          <w:rFonts w:ascii="Arial" w:hAnsi="Arial" w:cs="Arial"/>
          <w:b/>
          <w:bCs/>
          <w:i/>
          <w:iCs/>
          <w:noProof/>
          <w:u w:val="single"/>
        </w:rPr>
        <w:t>Sid’s Analysis</w:t>
      </w:r>
    </w:p>
    <w:p w14:paraId="07FB940D" w14:textId="77777777" w:rsidR="006D34A9" w:rsidRDefault="006D34A9" w:rsidP="00D7233E">
      <w:pPr>
        <w:ind w:hanging="630"/>
        <w:rPr>
          <w:rFonts w:ascii="Arial" w:hAnsi="Arial" w:cs="Arial"/>
          <w:b/>
          <w:bCs/>
          <w:i/>
          <w:iCs/>
          <w:noProof/>
          <w:u w:val="single"/>
        </w:rPr>
        <w:sectPr w:rsidR="006D34A9" w:rsidSect="00962D41">
          <w:pgSz w:w="12240" w:h="15840"/>
          <w:pgMar w:top="450" w:right="450" w:bottom="540" w:left="1350" w:header="720" w:footer="720" w:gutter="0"/>
          <w:cols w:space="720"/>
          <w:docGrid w:linePitch="360"/>
        </w:sectPr>
      </w:pPr>
    </w:p>
    <w:p w14:paraId="58C22AB2" w14:textId="1AF1508E" w:rsidR="00D7233E" w:rsidRDefault="006D34A9" w:rsidP="00D7233E">
      <w:pPr>
        <w:ind w:hanging="630"/>
        <w:rPr>
          <w:rFonts w:ascii="Arial" w:hAnsi="Arial" w:cs="Arial"/>
          <w:b/>
          <w:bCs/>
          <w:i/>
          <w:iCs/>
          <w:noProof/>
          <w:u w:val="single"/>
        </w:rPr>
      </w:pPr>
      <w:r w:rsidRPr="006D34A9">
        <w:rPr>
          <w:rFonts w:ascii="Arial" w:hAnsi="Arial" w:cs="Arial"/>
          <w:b/>
          <w:bCs/>
          <w:i/>
          <w:iCs/>
          <w:noProof/>
          <w:u w:val="single"/>
        </w:rPr>
        <w:drawing>
          <wp:inline distT="0" distB="0" distL="0" distR="0" wp14:anchorId="36AC0B4A" wp14:editId="44E00ADF">
            <wp:extent cx="5233182" cy="6520180"/>
            <wp:effectExtent l="0" t="0" r="5715" b="0"/>
            <wp:docPr id="22952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24764" name=""/>
                    <pic:cNvPicPr/>
                  </pic:nvPicPr>
                  <pic:blipFill>
                    <a:blip r:embed="rId5"/>
                    <a:stretch>
                      <a:fillRect/>
                    </a:stretch>
                  </pic:blipFill>
                  <pic:spPr>
                    <a:xfrm>
                      <a:off x="0" y="0"/>
                      <a:ext cx="5308049" cy="6613459"/>
                    </a:xfrm>
                    <a:prstGeom prst="rect">
                      <a:avLst/>
                    </a:prstGeom>
                  </pic:spPr>
                </pic:pic>
              </a:graphicData>
            </a:graphic>
          </wp:inline>
        </w:drawing>
      </w:r>
    </w:p>
    <w:p w14:paraId="0E3E5863" w14:textId="77777777" w:rsidR="006D34A9" w:rsidRDefault="006D34A9" w:rsidP="00D7233E">
      <w:pPr>
        <w:ind w:hanging="630"/>
        <w:rPr>
          <w:noProof/>
        </w:rPr>
        <w:sectPr w:rsidR="006D34A9" w:rsidSect="006D34A9">
          <w:type w:val="continuous"/>
          <w:pgSz w:w="12240" w:h="15840"/>
          <w:pgMar w:top="450" w:right="450" w:bottom="540" w:left="1350" w:header="720" w:footer="720" w:gutter="0"/>
          <w:cols w:num="2" w:space="720"/>
          <w:docGrid w:linePitch="360"/>
        </w:sectPr>
      </w:pPr>
    </w:p>
    <w:p w14:paraId="76EC42D6" w14:textId="7BFCFBFB" w:rsidR="00962D41" w:rsidRDefault="006D34A9" w:rsidP="00D7233E">
      <w:pPr>
        <w:ind w:hanging="630"/>
        <w:rPr>
          <w:noProof/>
        </w:rPr>
        <w:sectPr w:rsidR="00962D41" w:rsidSect="006D34A9">
          <w:type w:val="continuous"/>
          <w:pgSz w:w="12240" w:h="15840"/>
          <w:pgMar w:top="450" w:right="450" w:bottom="540" w:left="1350" w:header="720" w:footer="720" w:gutter="0"/>
          <w:cols w:num="2" w:space="720"/>
          <w:docGrid w:linePitch="360"/>
        </w:sectPr>
      </w:pPr>
      <w:r w:rsidRPr="006D34A9">
        <w:rPr>
          <w:noProof/>
        </w:rPr>
        <w:lastRenderedPageBreak/>
        <w:drawing>
          <wp:inline distT="0" distB="0" distL="0" distR="0" wp14:anchorId="5D24130B" wp14:editId="5E73DADA">
            <wp:extent cx="5577840" cy="8686800"/>
            <wp:effectExtent l="0" t="0" r="3810" b="0"/>
            <wp:docPr id="132938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89433" name=""/>
                    <pic:cNvPicPr/>
                  </pic:nvPicPr>
                  <pic:blipFill>
                    <a:blip r:embed="rId6"/>
                    <a:stretch>
                      <a:fillRect/>
                    </a:stretch>
                  </pic:blipFill>
                  <pic:spPr>
                    <a:xfrm>
                      <a:off x="0" y="0"/>
                      <a:ext cx="5711928" cy="8895626"/>
                    </a:xfrm>
                    <a:prstGeom prst="rect">
                      <a:avLst/>
                    </a:prstGeom>
                  </pic:spPr>
                </pic:pic>
              </a:graphicData>
            </a:graphic>
          </wp:inline>
        </w:drawing>
      </w:r>
      <w:r w:rsidRPr="006D34A9">
        <w:rPr>
          <w:noProof/>
        </w:rPr>
        <w:t xml:space="preserve"> </w:t>
      </w:r>
      <w:r w:rsidRPr="006D34A9">
        <w:rPr>
          <w:noProof/>
        </w:rPr>
        <w:lastRenderedPageBreak/>
        <w:drawing>
          <wp:inline distT="0" distB="0" distL="0" distR="0" wp14:anchorId="36E2AD32" wp14:editId="29572BF1">
            <wp:extent cx="5000401" cy="8827477"/>
            <wp:effectExtent l="0" t="0" r="0" b="0"/>
            <wp:docPr id="193249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98512" name=""/>
                    <pic:cNvPicPr/>
                  </pic:nvPicPr>
                  <pic:blipFill>
                    <a:blip r:embed="rId7"/>
                    <a:stretch>
                      <a:fillRect/>
                    </a:stretch>
                  </pic:blipFill>
                  <pic:spPr>
                    <a:xfrm>
                      <a:off x="0" y="0"/>
                      <a:ext cx="5018214" cy="8858924"/>
                    </a:xfrm>
                    <a:prstGeom prst="rect">
                      <a:avLst/>
                    </a:prstGeom>
                  </pic:spPr>
                </pic:pic>
              </a:graphicData>
            </a:graphic>
          </wp:inline>
        </w:drawing>
      </w:r>
    </w:p>
    <w:p w14:paraId="60CCF311" w14:textId="6775656D" w:rsidR="00962D41" w:rsidRDefault="00962D41" w:rsidP="00D7233E">
      <w:pPr>
        <w:ind w:hanging="630"/>
        <w:rPr>
          <w:rFonts w:ascii="Arial" w:hAnsi="Arial" w:cs="Arial"/>
          <w:b/>
          <w:bCs/>
          <w:i/>
          <w:iCs/>
          <w:noProof/>
          <w:u w:val="single"/>
        </w:rPr>
        <w:sectPr w:rsidR="00962D41" w:rsidSect="00747BA9">
          <w:type w:val="continuous"/>
          <w:pgSz w:w="12240" w:h="15840"/>
          <w:pgMar w:top="450" w:right="270" w:bottom="540" w:left="1260" w:header="720" w:footer="720" w:gutter="0"/>
          <w:cols w:num="2" w:space="720"/>
          <w:docGrid w:linePitch="360"/>
        </w:sectPr>
      </w:pPr>
    </w:p>
    <w:p w14:paraId="35593419" w14:textId="35AB4ED2" w:rsidR="00D7233E" w:rsidRDefault="00D7233E" w:rsidP="00D7233E">
      <w:pPr>
        <w:ind w:hanging="630"/>
        <w:rPr>
          <w:rFonts w:ascii="Arial" w:hAnsi="Arial" w:cs="Arial"/>
          <w:b/>
          <w:bCs/>
          <w:i/>
          <w:iCs/>
          <w:noProof/>
          <w:u w:val="single"/>
        </w:rPr>
      </w:pPr>
    </w:p>
    <w:p w14:paraId="5F037B59" w14:textId="510F98CB" w:rsidR="009A6E88" w:rsidRDefault="00747BA9" w:rsidP="009A6E88">
      <w:pPr>
        <w:ind w:hanging="630"/>
        <w:rPr>
          <w:rFonts w:ascii="Arial" w:hAnsi="Arial" w:cs="Arial"/>
          <w:b/>
          <w:bCs/>
          <w:i/>
          <w:iCs/>
          <w:noProof/>
          <w:u w:val="single"/>
        </w:rPr>
      </w:pPr>
      <w:r>
        <w:rPr>
          <w:rFonts w:ascii="Arial" w:hAnsi="Arial" w:cs="Arial"/>
          <w:b/>
          <w:bCs/>
          <w:i/>
          <w:iCs/>
          <w:noProof/>
          <w:u w:val="single"/>
        </w:rPr>
        <w:t>B .Jaison’s Analysis</w:t>
      </w:r>
    </w:p>
    <w:p w14:paraId="4A356AA5" w14:textId="66875AF6" w:rsidR="009A6E88" w:rsidRDefault="009A6E88" w:rsidP="00747BA9">
      <w:pPr>
        <w:ind w:hanging="630"/>
        <w:rPr>
          <w:rFonts w:ascii="Arial" w:hAnsi="Arial" w:cs="Arial"/>
          <w:b/>
          <w:bCs/>
          <w:i/>
          <w:iCs/>
          <w:noProof/>
          <w:u w:val="single"/>
        </w:rPr>
      </w:pPr>
      <w:r w:rsidRPr="009A6E88">
        <w:rPr>
          <w:rFonts w:ascii="Arial" w:hAnsi="Arial" w:cs="Arial"/>
          <w:b/>
          <w:bCs/>
          <w:i/>
          <w:iCs/>
          <w:noProof/>
          <w:u w:val="single"/>
        </w:rPr>
        <w:drawing>
          <wp:inline distT="0" distB="0" distL="0" distR="0" wp14:anchorId="319395EA" wp14:editId="4B8168EA">
            <wp:extent cx="3615397" cy="8636721"/>
            <wp:effectExtent l="0" t="0" r="4445" b="0"/>
            <wp:docPr id="98941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0333" name=""/>
                    <pic:cNvPicPr/>
                  </pic:nvPicPr>
                  <pic:blipFill>
                    <a:blip r:embed="rId8"/>
                    <a:stretch>
                      <a:fillRect/>
                    </a:stretch>
                  </pic:blipFill>
                  <pic:spPr>
                    <a:xfrm>
                      <a:off x="0" y="0"/>
                      <a:ext cx="3675146" cy="8779453"/>
                    </a:xfrm>
                    <a:prstGeom prst="rect">
                      <a:avLst/>
                    </a:prstGeom>
                  </pic:spPr>
                </pic:pic>
              </a:graphicData>
            </a:graphic>
          </wp:inline>
        </w:drawing>
      </w:r>
      <w:r w:rsidRPr="009A6E88">
        <w:rPr>
          <w:noProof/>
        </w:rPr>
        <w:t xml:space="preserve"> </w:t>
      </w:r>
      <w:r w:rsidRPr="009A6E88">
        <w:rPr>
          <w:rFonts w:ascii="Arial" w:hAnsi="Arial" w:cs="Arial"/>
          <w:b/>
          <w:bCs/>
          <w:i/>
          <w:iCs/>
          <w:noProof/>
          <w:u w:val="single"/>
        </w:rPr>
        <w:drawing>
          <wp:inline distT="0" distB="0" distL="0" distR="0" wp14:anchorId="0D3B2E61" wp14:editId="09F236EE">
            <wp:extent cx="3354363" cy="8629650"/>
            <wp:effectExtent l="0" t="0" r="0" b="0"/>
            <wp:docPr id="100912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1981" name=""/>
                    <pic:cNvPicPr/>
                  </pic:nvPicPr>
                  <pic:blipFill>
                    <a:blip r:embed="rId9"/>
                    <a:stretch>
                      <a:fillRect/>
                    </a:stretch>
                  </pic:blipFill>
                  <pic:spPr>
                    <a:xfrm>
                      <a:off x="0" y="0"/>
                      <a:ext cx="3378376" cy="8691428"/>
                    </a:xfrm>
                    <a:prstGeom prst="rect">
                      <a:avLst/>
                    </a:prstGeom>
                  </pic:spPr>
                </pic:pic>
              </a:graphicData>
            </a:graphic>
          </wp:inline>
        </w:drawing>
      </w:r>
    </w:p>
    <w:p w14:paraId="22E9585F" w14:textId="021E1782" w:rsidR="00747BA9" w:rsidRPr="00D7233E" w:rsidRDefault="00C33BA7" w:rsidP="00C33BA7">
      <w:pPr>
        <w:ind w:left="90" w:firstLine="90"/>
        <w:rPr>
          <w:rFonts w:ascii="Arial" w:hAnsi="Arial" w:cs="Arial"/>
          <w:b/>
          <w:bCs/>
          <w:i/>
          <w:iCs/>
          <w:noProof/>
          <w:u w:val="single"/>
        </w:rPr>
      </w:pPr>
      <w:r w:rsidRPr="00C33BA7">
        <w:rPr>
          <w:rFonts w:ascii="Arial" w:hAnsi="Arial" w:cs="Arial"/>
          <w:b/>
          <w:bCs/>
          <w:i/>
          <w:iCs/>
          <w:noProof/>
          <w:u w:val="single"/>
        </w:rPr>
        <w:lastRenderedPageBreak/>
        <w:drawing>
          <wp:inline distT="0" distB="0" distL="0" distR="0" wp14:anchorId="49238A64" wp14:editId="2702DDF0">
            <wp:extent cx="6146800" cy="4635500"/>
            <wp:effectExtent l="0" t="0" r="6350" b="0"/>
            <wp:docPr id="5448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1630" name=""/>
                    <pic:cNvPicPr/>
                  </pic:nvPicPr>
                  <pic:blipFill>
                    <a:blip r:embed="rId10"/>
                    <a:stretch>
                      <a:fillRect/>
                    </a:stretch>
                  </pic:blipFill>
                  <pic:spPr>
                    <a:xfrm>
                      <a:off x="0" y="0"/>
                      <a:ext cx="6161531" cy="4646609"/>
                    </a:xfrm>
                    <a:prstGeom prst="rect">
                      <a:avLst/>
                    </a:prstGeom>
                  </pic:spPr>
                </pic:pic>
              </a:graphicData>
            </a:graphic>
          </wp:inline>
        </w:drawing>
      </w:r>
      <w:r w:rsidRPr="00C33BA7">
        <w:rPr>
          <w:noProof/>
        </w:rPr>
        <w:t xml:space="preserve"> </w:t>
      </w:r>
      <w:r w:rsidRPr="00C33BA7">
        <w:rPr>
          <w:rFonts w:ascii="Arial" w:hAnsi="Arial" w:cs="Arial"/>
          <w:b/>
          <w:bCs/>
          <w:i/>
          <w:iCs/>
          <w:noProof/>
          <w:u w:val="single"/>
        </w:rPr>
        <w:drawing>
          <wp:inline distT="0" distB="0" distL="0" distR="0" wp14:anchorId="3FE89FFA" wp14:editId="7B9D70D1">
            <wp:extent cx="6253923" cy="4616450"/>
            <wp:effectExtent l="0" t="0" r="0" b="0"/>
            <wp:docPr id="65510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06524" name=""/>
                    <pic:cNvPicPr/>
                  </pic:nvPicPr>
                  <pic:blipFill>
                    <a:blip r:embed="rId11"/>
                    <a:stretch>
                      <a:fillRect/>
                    </a:stretch>
                  </pic:blipFill>
                  <pic:spPr>
                    <a:xfrm>
                      <a:off x="0" y="0"/>
                      <a:ext cx="6341714" cy="4681255"/>
                    </a:xfrm>
                    <a:prstGeom prst="rect">
                      <a:avLst/>
                    </a:prstGeom>
                  </pic:spPr>
                </pic:pic>
              </a:graphicData>
            </a:graphic>
          </wp:inline>
        </w:drawing>
      </w:r>
    </w:p>
    <w:p w14:paraId="4A18896B" w14:textId="77777777" w:rsidR="00C33BA7" w:rsidRDefault="00C33BA7">
      <w:pPr>
        <w:rPr>
          <w:noProof/>
        </w:rPr>
        <w:sectPr w:rsidR="00C33BA7" w:rsidSect="00C33BA7">
          <w:type w:val="continuous"/>
          <w:pgSz w:w="12240" w:h="15840"/>
          <w:pgMar w:top="450" w:right="180" w:bottom="540" w:left="990" w:header="720" w:footer="720" w:gutter="0"/>
          <w:cols w:space="720"/>
          <w:docGrid w:linePitch="360"/>
        </w:sectPr>
      </w:pPr>
    </w:p>
    <w:p w14:paraId="2A5C9BA6" w14:textId="3408FC6E" w:rsidR="00C33BA7" w:rsidRDefault="00C33BA7">
      <w:pPr>
        <w:rPr>
          <w:noProof/>
        </w:rPr>
        <w:sectPr w:rsidR="00C33BA7" w:rsidSect="00C33BA7">
          <w:type w:val="continuous"/>
          <w:pgSz w:w="12240" w:h="15840"/>
          <w:pgMar w:top="450" w:right="180" w:bottom="540" w:left="1080" w:header="720" w:footer="720" w:gutter="0"/>
          <w:cols w:num="2" w:space="720"/>
          <w:docGrid w:linePitch="360"/>
        </w:sectPr>
      </w:pPr>
    </w:p>
    <w:p w14:paraId="75CC5B8C" w14:textId="77777777" w:rsidR="00C33BA7" w:rsidRPr="00C33BA7" w:rsidRDefault="00073064" w:rsidP="00C33BA7">
      <w:pPr>
        <w:rPr>
          <w:b/>
          <w:bCs/>
          <w:noProof/>
          <w:sz w:val="16"/>
          <w:szCs w:val="16"/>
        </w:rPr>
      </w:pPr>
      <w:r w:rsidRPr="00073064">
        <w:rPr>
          <w:noProof/>
        </w:rPr>
        <w:lastRenderedPageBreak/>
        <w:t xml:space="preserve"> </w:t>
      </w:r>
      <w:r w:rsidR="00C33BA7" w:rsidRPr="00C33BA7">
        <w:rPr>
          <w:b/>
          <w:bCs/>
          <w:noProof/>
          <w:sz w:val="16"/>
          <w:szCs w:val="16"/>
        </w:rPr>
        <w:t>Annotated Bibliography (APA format)</w:t>
      </w:r>
    </w:p>
    <w:p w14:paraId="3BE0FAC7" w14:textId="77777777" w:rsidR="00C33BA7" w:rsidRPr="00C33BA7" w:rsidRDefault="00C33BA7" w:rsidP="00C33BA7">
      <w:pPr>
        <w:rPr>
          <w:noProof/>
          <w:sz w:val="20"/>
          <w:szCs w:val="20"/>
        </w:rPr>
      </w:pPr>
      <w:r w:rsidRPr="00C33BA7">
        <w:rPr>
          <w:noProof/>
          <w:sz w:val="20"/>
          <w:szCs w:val="20"/>
        </w:rPr>
        <w:t>Peak Propulsive Power (W)</w:t>
      </w:r>
    </w:p>
    <w:p w14:paraId="410173F1" w14:textId="2A34CF49" w:rsidR="00C33BA7" w:rsidRPr="00C33BA7" w:rsidRDefault="00036BAB" w:rsidP="00C33BA7">
      <w:pPr>
        <w:numPr>
          <w:ilvl w:val="0"/>
          <w:numId w:val="3"/>
        </w:numPr>
        <w:rPr>
          <w:noProof/>
          <w:sz w:val="20"/>
          <w:szCs w:val="20"/>
        </w:rPr>
      </w:pPr>
      <w:r w:rsidRPr="00036BAB">
        <w:rPr>
          <w:noProof/>
          <w:sz w:val="20"/>
          <w:szCs w:val="20"/>
        </w:rPr>
        <w:t>Cormie P, McGuigan MR, Newton RU. Developing maximal neuromuscular power: Part 1--biological basis of maximal power production. Sports Med. 2011 Jan 1;41(1):17-38. doi: 10.2165/11537690-000000000-00000. PMID: 21142282.</w:t>
      </w:r>
      <w:r>
        <w:rPr>
          <w:noProof/>
          <w:sz w:val="20"/>
          <w:szCs w:val="20"/>
        </w:rPr>
        <w:t xml:space="preserve"> </w:t>
      </w:r>
      <w:r w:rsidRPr="00036BAB">
        <w:rPr>
          <w:noProof/>
          <w:sz w:val="20"/>
          <w:szCs w:val="20"/>
        </w:rPr>
        <w:t>https://pubmed.ncbi.nlm.nih.gov/21142282/</w:t>
      </w:r>
      <w:r w:rsidR="00C33BA7" w:rsidRPr="00C33BA7">
        <w:rPr>
          <w:noProof/>
          <w:sz w:val="20"/>
          <w:szCs w:val="20"/>
        </w:rPr>
        <w:br/>
      </w:r>
      <w:r w:rsidR="00C33BA7" w:rsidRPr="00C33BA7">
        <w:rPr>
          <w:i/>
          <w:iCs/>
          <w:noProof/>
          <w:sz w:val="20"/>
          <w:szCs w:val="20"/>
        </w:rPr>
        <w:t>Explains the physiological basis and importance of propulsive power in athletic performance, especially for movements common in football and basketball (vertical jumps, sprints).</w:t>
      </w:r>
    </w:p>
    <w:p w14:paraId="6FC9C19C" w14:textId="4D8A843D" w:rsidR="00C33BA7" w:rsidRPr="00C33BA7" w:rsidRDefault="00036BAB" w:rsidP="00C33BA7">
      <w:pPr>
        <w:numPr>
          <w:ilvl w:val="0"/>
          <w:numId w:val="3"/>
        </w:numPr>
        <w:rPr>
          <w:noProof/>
          <w:sz w:val="20"/>
          <w:szCs w:val="20"/>
        </w:rPr>
      </w:pPr>
      <w:r w:rsidRPr="00036BAB">
        <w:rPr>
          <w:noProof/>
          <w:sz w:val="20"/>
          <w:szCs w:val="20"/>
        </w:rPr>
        <w:t>McBride JM, Triplett-McBride T, Davie A, Newton RU. The effect of heavy- vs. light-load jump squats on the development of strength, power, and speed. J Strength Cond Res. 2002 Feb;16(1):75-82. PMID: 11834109.</w:t>
      </w:r>
      <w:r>
        <w:rPr>
          <w:noProof/>
          <w:sz w:val="20"/>
          <w:szCs w:val="20"/>
        </w:rPr>
        <w:t xml:space="preserve"> </w:t>
      </w:r>
      <w:r w:rsidRPr="00036BAB">
        <w:rPr>
          <w:noProof/>
          <w:sz w:val="20"/>
          <w:szCs w:val="20"/>
        </w:rPr>
        <w:t>https://pubmed.ncbi.nlm.nih.gov/11834109/</w:t>
      </w:r>
      <w:r w:rsidR="00C33BA7" w:rsidRPr="00C33BA7">
        <w:rPr>
          <w:noProof/>
          <w:sz w:val="20"/>
          <w:szCs w:val="20"/>
        </w:rPr>
        <w:br/>
      </w:r>
      <w:r w:rsidR="00C33BA7" w:rsidRPr="00C33BA7">
        <w:rPr>
          <w:i/>
          <w:iCs/>
          <w:noProof/>
          <w:sz w:val="20"/>
          <w:szCs w:val="20"/>
        </w:rPr>
        <w:t>Presents findings on power development using metrics such as peak propulsive power during jumping, verified with force platforms (used in Hawkin Dynamics and VALD devices).</w:t>
      </w:r>
    </w:p>
    <w:p w14:paraId="2A156E71" w14:textId="77777777" w:rsidR="00C33BA7" w:rsidRPr="00C33BA7" w:rsidRDefault="00C33BA7" w:rsidP="00C33BA7">
      <w:pPr>
        <w:rPr>
          <w:noProof/>
          <w:sz w:val="20"/>
          <w:szCs w:val="20"/>
        </w:rPr>
      </w:pPr>
      <w:r w:rsidRPr="00C33BA7">
        <w:rPr>
          <w:noProof/>
          <w:sz w:val="20"/>
          <w:szCs w:val="20"/>
        </w:rPr>
        <w:t>Jump Height (m)</w:t>
      </w:r>
    </w:p>
    <w:p w14:paraId="133AA6C4" w14:textId="7601A7FA" w:rsidR="00C33BA7" w:rsidRPr="00C33BA7" w:rsidRDefault="00036BAB" w:rsidP="00C33BA7">
      <w:pPr>
        <w:numPr>
          <w:ilvl w:val="0"/>
          <w:numId w:val="4"/>
        </w:numPr>
        <w:rPr>
          <w:noProof/>
          <w:sz w:val="20"/>
          <w:szCs w:val="20"/>
        </w:rPr>
      </w:pPr>
      <w:r w:rsidRPr="00036BAB">
        <w:rPr>
          <w:noProof/>
          <w:sz w:val="20"/>
          <w:szCs w:val="20"/>
        </w:rPr>
        <w:t>Heishman AD, Daub BD, Miller RM, Freitas EDS, Frantz BA, Bemben MG. Countermovement Jump Reliability Performed With and Without an Arm Swing in NCAA Division 1 Intercollegiate Basketball Players. J Strength Cond Res. 2020 Feb;34(2):546-558. doi: 10.1519/JSC.0000000000002812. PMID: 30138237.https://pubmed.ncbi.nlm.nih.gov/30138237/</w:t>
      </w:r>
      <w:r w:rsidR="00C33BA7" w:rsidRPr="00C33BA7">
        <w:rPr>
          <w:noProof/>
          <w:sz w:val="20"/>
          <w:szCs w:val="20"/>
        </w:rPr>
        <w:br/>
      </w:r>
      <w:r w:rsidR="00C33BA7" w:rsidRPr="00C33BA7">
        <w:rPr>
          <w:i/>
          <w:iCs/>
          <w:noProof/>
          <w:sz w:val="20"/>
          <w:szCs w:val="20"/>
        </w:rPr>
        <w:t>Establishes jump height as both highly reliable and practically relevant for basketball performance.</w:t>
      </w:r>
    </w:p>
    <w:p w14:paraId="4C1C6C24" w14:textId="7617A96F" w:rsidR="00C33BA7" w:rsidRPr="00C33BA7" w:rsidRDefault="00E20814" w:rsidP="00E20814">
      <w:pPr>
        <w:numPr>
          <w:ilvl w:val="0"/>
          <w:numId w:val="4"/>
        </w:numPr>
        <w:rPr>
          <w:noProof/>
          <w:sz w:val="20"/>
          <w:szCs w:val="20"/>
        </w:rPr>
      </w:pPr>
      <w:r w:rsidRPr="00E20814">
        <w:rPr>
          <w:noProof/>
          <w:sz w:val="20"/>
          <w:szCs w:val="20"/>
        </w:rPr>
        <w:t xml:space="preserve">Ryman Augustsson S, Arvidsson J, Haglund E. Jump height as performance indicator for the selection of youth football players to national teams. J Sports Med Phys Fitness. 2019 Oct;59(10):1669-1675. doi: 10.23736/S0022-4707.19.09739-1. Epub 2019 May 2. PMID: </w:t>
      </w:r>
      <w:proofErr w:type="gramStart"/>
      <w:r w:rsidRPr="00E20814">
        <w:rPr>
          <w:noProof/>
          <w:sz w:val="20"/>
          <w:szCs w:val="20"/>
        </w:rPr>
        <w:t>31062951</w:t>
      </w:r>
      <w:r w:rsidRPr="00E20814">
        <w:t xml:space="preserve"> </w:t>
      </w:r>
      <w:r>
        <w:t xml:space="preserve"> </w:t>
      </w:r>
      <w:r w:rsidRPr="00E20814">
        <w:rPr>
          <w:noProof/>
          <w:sz w:val="20"/>
          <w:szCs w:val="20"/>
        </w:rPr>
        <w:t>https://pubmed.ncbi.nlm.nih.gov/31062951/</w:t>
      </w:r>
      <w:proofErr w:type="gramEnd"/>
      <w:r w:rsidR="00C33BA7" w:rsidRPr="00C33BA7">
        <w:rPr>
          <w:noProof/>
          <w:sz w:val="20"/>
          <w:szCs w:val="20"/>
        </w:rPr>
        <w:br/>
      </w:r>
      <w:r w:rsidR="00C33BA7" w:rsidRPr="00C33BA7">
        <w:rPr>
          <w:i/>
          <w:iCs/>
          <w:noProof/>
          <w:sz w:val="20"/>
          <w:szCs w:val="20"/>
        </w:rPr>
        <w:t>Relates jump height assessment to talent identification in football.</w:t>
      </w:r>
    </w:p>
    <w:p w14:paraId="796D9118" w14:textId="77777777" w:rsidR="00C33BA7" w:rsidRPr="00C33BA7" w:rsidRDefault="00C33BA7" w:rsidP="00C33BA7">
      <w:pPr>
        <w:rPr>
          <w:noProof/>
          <w:sz w:val="20"/>
          <w:szCs w:val="20"/>
        </w:rPr>
      </w:pPr>
      <w:r w:rsidRPr="00C33BA7">
        <w:rPr>
          <w:noProof/>
          <w:sz w:val="20"/>
          <w:szCs w:val="20"/>
        </w:rPr>
        <w:t>Peak Velocity (m/s)</w:t>
      </w:r>
    </w:p>
    <w:p w14:paraId="7B6434C2" w14:textId="77777777" w:rsidR="00C33BA7" w:rsidRPr="00C33BA7" w:rsidRDefault="00C33BA7" w:rsidP="00C33BA7">
      <w:pPr>
        <w:numPr>
          <w:ilvl w:val="0"/>
          <w:numId w:val="5"/>
        </w:numPr>
        <w:rPr>
          <w:noProof/>
          <w:sz w:val="20"/>
          <w:szCs w:val="20"/>
        </w:rPr>
      </w:pPr>
      <w:r w:rsidRPr="00C33BA7">
        <w:rPr>
          <w:noProof/>
          <w:sz w:val="20"/>
          <w:szCs w:val="20"/>
        </w:rPr>
        <w:t>Iturricastillo, A., Yanci, J., &amp; Granados, C. (2019). A comparison of mean and peak velocity in the bench press exercise: Effects of throwing through the concentric phase on velocity and power. Journal of Sports Sciences, 37(5), 539–545. </w:t>
      </w:r>
      <w:hyperlink r:id="rId12" w:tgtFrame="_blank" w:history="1">
        <w:r w:rsidRPr="00C33BA7">
          <w:rPr>
            <w:rStyle w:val="Hyperlink"/>
            <w:b/>
            <w:bCs/>
            <w:noProof/>
            <w:sz w:val="20"/>
            <w:szCs w:val="20"/>
          </w:rPr>
          <w:t>https://pubmed.ncbi.nlm.nih.gov/30569792/</w:t>
        </w:r>
      </w:hyperlink>
      <w:r w:rsidRPr="00C33BA7">
        <w:rPr>
          <w:noProof/>
          <w:sz w:val="20"/>
          <w:szCs w:val="20"/>
        </w:rPr>
        <w:br/>
      </w:r>
      <w:r w:rsidRPr="00C33BA7">
        <w:rPr>
          <w:i/>
          <w:iCs/>
          <w:noProof/>
          <w:sz w:val="20"/>
          <w:szCs w:val="20"/>
        </w:rPr>
        <w:t>Investigates peak velocity measurement reliability—a key output in football speed tests and basketball fast breaks.</w:t>
      </w:r>
    </w:p>
    <w:p w14:paraId="4E48FE2C" w14:textId="77777777" w:rsidR="00C33BA7" w:rsidRPr="00C33BA7" w:rsidRDefault="00C33BA7" w:rsidP="00C33BA7">
      <w:pPr>
        <w:rPr>
          <w:noProof/>
          <w:sz w:val="20"/>
          <w:szCs w:val="20"/>
        </w:rPr>
      </w:pPr>
      <w:r w:rsidRPr="00C33BA7">
        <w:rPr>
          <w:noProof/>
          <w:sz w:val="20"/>
          <w:szCs w:val="20"/>
        </w:rPr>
        <w:t>Speed_max</w:t>
      </w:r>
    </w:p>
    <w:p w14:paraId="28D00FEC" w14:textId="77777777" w:rsidR="007F282C" w:rsidRDefault="007F282C" w:rsidP="00C33BA7">
      <w:pPr>
        <w:numPr>
          <w:ilvl w:val="0"/>
          <w:numId w:val="6"/>
        </w:numPr>
        <w:rPr>
          <w:noProof/>
          <w:sz w:val="20"/>
          <w:szCs w:val="20"/>
        </w:rPr>
      </w:pPr>
      <w:r w:rsidRPr="007F282C">
        <w:rPr>
          <w:noProof/>
          <w:sz w:val="20"/>
          <w:szCs w:val="20"/>
        </w:rPr>
        <w:t>Arede J, Leite N, Tous-Fajardo J, Bishop C, Gonzalo-Skok O. Enhancing High-Intensity Actions During a Basketball Game After a Strength Training Program With Random Recovery Times Between Sets. J Strength Cond Res. 2022 Jul 1;36(7):1989-1997. doi: 10.1519/JSC.0000000000004002. Epub 2021 Mar 2. PMID: 33651731.</w:t>
      </w:r>
    </w:p>
    <w:p w14:paraId="3092EE6E" w14:textId="0BC53D5F" w:rsidR="00C33BA7" w:rsidRPr="00C33BA7" w:rsidRDefault="007F282C" w:rsidP="00C33BA7">
      <w:pPr>
        <w:numPr>
          <w:ilvl w:val="0"/>
          <w:numId w:val="6"/>
        </w:numPr>
        <w:rPr>
          <w:noProof/>
          <w:sz w:val="20"/>
          <w:szCs w:val="20"/>
        </w:rPr>
      </w:pPr>
      <w:r w:rsidRPr="007F282C">
        <w:rPr>
          <w:noProof/>
          <w:sz w:val="20"/>
          <w:szCs w:val="20"/>
        </w:rPr>
        <w:t>Lockie, Robert G.; Murphy, Aron J.; Schultz, Adrian B.; Knight, Timothy J.; Janse de Jonge, Xanne A.K.. The Effects of Different Speed Training Protocols on Sprint Acceleration Kinematics and Muscle Strength and Power in Field Sport Athletes. Journal of Strength and Conditioning Research 26(6):p 1539-1550, June 2012. | DOI: 10.1519/JSC.0b013e318234e8a0</w:t>
      </w:r>
      <w:r w:rsidR="00C33BA7" w:rsidRPr="00C33BA7">
        <w:rPr>
          <w:noProof/>
          <w:sz w:val="20"/>
          <w:szCs w:val="20"/>
        </w:rPr>
        <w:br/>
      </w:r>
    </w:p>
    <w:p w14:paraId="0FD1BB2B" w14:textId="77777777" w:rsidR="00C33BA7" w:rsidRPr="00C33BA7" w:rsidRDefault="00C33BA7" w:rsidP="00C33BA7">
      <w:pPr>
        <w:rPr>
          <w:noProof/>
          <w:sz w:val="20"/>
          <w:szCs w:val="20"/>
        </w:rPr>
      </w:pPr>
      <w:r w:rsidRPr="00C33BA7">
        <w:rPr>
          <w:noProof/>
          <w:sz w:val="20"/>
          <w:szCs w:val="20"/>
        </w:rPr>
        <w:t>Distance_total</w:t>
      </w:r>
    </w:p>
    <w:p w14:paraId="7C0625DA" w14:textId="77777777" w:rsidR="00C33BA7" w:rsidRPr="00C33BA7" w:rsidRDefault="00C33BA7" w:rsidP="00C33BA7">
      <w:pPr>
        <w:numPr>
          <w:ilvl w:val="0"/>
          <w:numId w:val="7"/>
        </w:numPr>
        <w:rPr>
          <w:noProof/>
          <w:sz w:val="20"/>
          <w:szCs w:val="20"/>
        </w:rPr>
      </w:pPr>
      <w:r w:rsidRPr="00C33BA7">
        <w:rPr>
          <w:noProof/>
          <w:sz w:val="20"/>
          <w:szCs w:val="20"/>
        </w:rPr>
        <w:t>Cabarkapa, D., Fry, A. C., Ballard, C. J., Arnett, S. W., &amp; Deane, M. A. (2025). Post practice neuromuscular performance changes in 3 × 3 basketball. Journal of Strength and Conditioning Research. </w:t>
      </w:r>
      <w:hyperlink r:id="rId13" w:tgtFrame="_blank" w:history="1">
        <w:r w:rsidRPr="00C33BA7">
          <w:rPr>
            <w:rStyle w:val="Hyperlink"/>
            <w:b/>
            <w:bCs/>
            <w:noProof/>
            <w:sz w:val="20"/>
            <w:szCs w:val="20"/>
          </w:rPr>
          <w:t>https://pubmed.ncbi.nlm.nih.gov/40266643/</w:t>
        </w:r>
      </w:hyperlink>
      <w:r w:rsidRPr="00C33BA7">
        <w:rPr>
          <w:noProof/>
          <w:sz w:val="20"/>
          <w:szCs w:val="20"/>
        </w:rPr>
        <w:br/>
      </w:r>
      <w:r w:rsidRPr="00C33BA7">
        <w:rPr>
          <w:i/>
          <w:iCs/>
          <w:noProof/>
          <w:sz w:val="20"/>
          <w:szCs w:val="20"/>
        </w:rPr>
        <w:t>Quantifies distance covered in high-level basketball practices; relates metrics to performance decline and fatigue.</w:t>
      </w:r>
    </w:p>
    <w:p w14:paraId="12E7161B" w14:textId="77777777" w:rsidR="00C33BA7" w:rsidRPr="00C33BA7" w:rsidRDefault="00C33BA7" w:rsidP="00C33BA7">
      <w:pPr>
        <w:numPr>
          <w:ilvl w:val="0"/>
          <w:numId w:val="7"/>
        </w:numPr>
        <w:rPr>
          <w:noProof/>
          <w:sz w:val="20"/>
          <w:szCs w:val="20"/>
        </w:rPr>
      </w:pPr>
      <w:r w:rsidRPr="00C33BA7">
        <w:rPr>
          <w:noProof/>
          <w:sz w:val="20"/>
          <w:szCs w:val="20"/>
        </w:rPr>
        <w:t>Arede et al. (2022) (see above)</w:t>
      </w:r>
      <w:r w:rsidRPr="00C33BA7">
        <w:rPr>
          <w:noProof/>
          <w:sz w:val="20"/>
          <w:szCs w:val="20"/>
        </w:rPr>
        <w:br/>
      </w:r>
      <w:r w:rsidRPr="00C33BA7">
        <w:rPr>
          <w:i/>
          <w:iCs/>
          <w:noProof/>
          <w:sz w:val="20"/>
          <w:szCs w:val="20"/>
        </w:rPr>
        <w:t>Includes total distance as a monitored load variable by Kinexon, supporting training and injury risk analysis.</w:t>
      </w:r>
    </w:p>
    <w:p w14:paraId="4647D1AA" w14:textId="77777777" w:rsidR="00C33BA7" w:rsidRPr="00C33BA7" w:rsidRDefault="00C33BA7" w:rsidP="00C33BA7">
      <w:pPr>
        <w:rPr>
          <w:noProof/>
          <w:sz w:val="20"/>
          <w:szCs w:val="20"/>
        </w:rPr>
      </w:pPr>
      <w:r w:rsidRPr="00C33BA7">
        <w:rPr>
          <w:noProof/>
          <w:sz w:val="20"/>
          <w:szCs w:val="20"/>
        </w:rPr>
        <w:t>Reactive Strength Index (RSI)</w:t>
      </w:r>
    </w:p>
    <w:p w14:paraId="4C434804" w14:textId="77777777" w:rsidR="00C33BA7" w:rsidRPr="00C33BA7" w:rsidRDefault="00C33BA7" w:rsidP="00C33BA7">
      <w:pPr>
        <w:numPr>
          <w:ilvl w:val="0"/>
          <w:numId w:val="8"/>
        </w:numPr>
        <w:rPr>
          <w:noProof/>
          <w:sz w:val="20"/>
          <w:szCs w:val="20"/>
        </w:rPr>
      </w:pPr>
      <w:r w:rsidRPr="00C33BA7">
        <w:rPr>
          <w:noProof/>
          <w:sz w:val="20"/>
          <w:szCs w:val="20"/>
        </w:rPr>
        <w:t xml:space="preserve">Markwick, W. J., Bird, S. P., Tufano, J. J., Seitz, L. B., &amp; Haff, G. G. (2015). The intraday reliability of the reactive strength index calculated from a drop jump in professional men's basketball. International Journal of Sports Physiology and Performance, 10(5), </w:t>
      </w:r>
      <w:r w:rsidRPr="00C33BA7">
        <w:rPr>
          <w:noProof/>
          <w:sz w:val="20"/>
          <w:szCs w:val="20"/>
        </w:rPr>
        <w:lastRenderedPageBreak/>
        <w:t>554-560. </w:t>
      </w:r>
      <w:hyperlink r:id="rId14" w:tgtFrame="_blank" w:history="1">
        <w:r w:rsidRPr="00C33BA7">
          <w:rPr>
            <w:rStyle w:val="Hyperlink"/>
            <w:b/>
            <w:bCs/>
            <w:noProof/>
            <w:sz w:val="20"/>
            <w:szCs w:val="20"/>
          </w:rPr>
          <w:t>https://pubmed.ncbi.nlm.nih.gov/25394213/</w:t>
        </w:r>
      </w:hyperlink>
      <w:r w:rsidRPr="00C33BA7">
        <w:rPr>
          <w:noProof/>
          <w:sz w:val="20"/>
          <w:szCs w:val="20"/>
        </w:rPr>
        <w:br/>
      </w:r>
      <w:r w:rsidRPr="00C33BA7">
        <w:rPr>
          <w:i/>
          <w:iCs/>
          <w:noProof/>
          <w:sz w:val="20"/>
          <w:szCs w:val="20"/>
        </w:rPr>
        <w:t>RSI proves reliable and meaningful for change-of-direction and plyometric ability, measured by Hawkin Dynamics and VALD.</w:t>
      </w:r>
    </w:p>
    <w:p w14:paraId="4C2E9273" w14:textId="77777777" w:rsidR="00C33BA7" w:rsidRPr="00C33BA7" w:rsidRDefault="00C33BA7" w:rsidP="00C33BA7">
      <w:pPr>
        <w:numPr>
          <w:ilvl w:val="0"/>
          <w:numId w:val="8"/>
        </w:numPr>
        <w:rPr>
          <w:noProof/>
          <w:sz w:val="20"/>
          <w:szCs w:val="20"/>
        </w:rPr>
      </w:pPr>
      <w:r w:rsidRPr="00C33BA7">
        <w:rPr>
          <w:noProof/>
          <w:sz w:val="20"/>
          <w:szCs w:val="20"/>
        </w:rPr>
        <w:t>Brumitt, J., Brown, S., Sartor, T., &amp; Mattocks, K. (2021). Lower preseason reactive strength index scores are associated with higher risk of in-season noncontact injuries in collegiate basketball players. Journal of Sport Rehabilitation, 30(4), 552-558. </w:t>
      </w:r>
      <w:hyperlink r:id="rId15" w:tgtFrame="_blank" w:history="1">
        <w:r w:rsidRPr="00C33BA7">
          <w:rPr>
            <w:rStyle w:val="Hyperlink"/>
            <w:b/>
            <w:bCs/>
            <w:noProof/>
            <w:sz w:val="20"/>
            <w:szCs w:val="20"/>
          </w:rPr>
          <w:t>https://pubmed.ncbi.nlm.nih.gov/33376076/</w:t>
        </w:r>
      </w:hyperlink>
      <w:r w:rsidRPr="00C33BA7">
        <w:rPr>
          <w:noProof/>
          <w:sz w:val="20"/>
          <w:szCs w:val="20"/>
        </w:rPr>
        <w:br/>
      </w:r>
      <w:r w:rsidRPr="00C33BA7">
        <w:rPr>
          <w:i/>
          <w:iCs/>
          <w:noProof/>
          <w:sz w:val="20"/>
          <w:szCs w:val="20"/>
        </w:rPr>
        <w:t>Direct application of RSI for injury prediction and prevention in NCAA basketball populations.</w:t>
      </w:r>
    </w:p>
    <w:p w14:paraId="02A24F67" w14:textId="31B52D2E" w:rsidR="00073064" w:rsidRDefault="00073064">
      <w:pPr>
        <w:rPr>
          <w:noProof/>
        </w:rPr>
      </w:pPr>
    </w:p>
    <w:p w14:paraId="61484DA8" w14:textId="10370257" w:rsidR="00073064" w:rsidRDefault="00073064">
      <w:r w:rsidRPr="00073064">
        <w:rPr>
          <w:noProof/>
        </w:rPr>
        <w:t xml:space="preserve"> </w:t>
      </w:r>
    </w:p>
    <w:sectPr w:rsidR="00073064" w:rsidSect="00036BAB">
      <w:type w:val="continuous"/>
      <w:pgSz w:w="12240" w:h="15840"/>
      <w:pgMar w:top="450" w:right="180" w:bottom="5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E72E7"/>
    <w:multiLevelType w:val="multilevel"/>
    <w:tmpl w:val="9938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1B6C07"/>
    <w:multiLevelType w:val="multilevel"/>
    <w:tmpl w:val="2CB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3360F3"/>
    <w:multiLevelType w:val="multilevel"/>
    <w:tmpl w:val="12D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763BD3"/>
    <w:multiLevelType w:val="multilevel"/>
    <w:tmpl w:val="964A0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C62F23"/>
    <w:multiLevelType w:val="multilevel"/>
    <w:tmpl w:val="0A4C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E44FCA"/>
    <w:multiLevelType w:val="multilevel"/>
    <w:tmpl w:val="76F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9E3781"/>
    <w:multiLevelType w:val="multilevel"/>
    <w:tmpl w:val="2D1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C03342"/>
    <w:multiLevelType w:val="multilevel"/>
    <w:tmpl w:val="2B90B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4292349">
    <w:abstractNumId w:val="7"/>
  </w:num>
  <w:num w:numId="2" w16cid:durableId="562839908">
    <w:abstractNumId w:val="3"/>
  </w:num>
  <w:num w:numId="3" w16cid:durableId="1504666481">
    <w:abstractNumId w:val="1"/>
  </w:num>
  <w:num w:numId="4" w16cid:durableId="1973754716">
    <w:abstractNumId w:val="2"/>
  </w:num>
  <w:num w:numId="5" w16cid:durableId="978611546">
    <w:abstractNumId w:val="6"/>
  </w:num>
  <w:num w:numId="6" w16cid:durableId="1322268769">
    <w:abstractNumId w:val="5"/>
  </w:num>
  <w:num w:numId="7" w16cid:durableId="413013759">
    <w:abstractNumId w:val="0"/>
  </w:num>
  <w:num w:numId="8" w16cid:durableId="1021931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64"/>
    <w:rsid w:val="00036BAB"/>
    <w:rsid w:val="00073064"/>
    <w:rsid w:val="00352830"/>
    <w:rsid w:val="006D34A9"/>
    <w:rsid w:val="00747BA9"/>
    <w:rsid w:val="007F282C"/>
    <w:rsid w:val="00962D41"/>
    <w:rsid w:val="009A6E88"/>
    <w:rsid w:val="00B00B87"/>
    <w:rsid w:val="00C33BA7"/>
    <w:rsid w:val="00D7233E"/>
    <w:rsid w:val="00E2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3FF4"/>
  <w15:chartTrackingRefBased/>
  <w15:docId w15:val="{F00CD466-3949-4DA5-B4A0-7683482B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064"/>
    <w:rPr>
      <w:rFonts w:eastAsiaTheme="majorEastAsia" w:cstheme="majorBidi"/>
      <w:color w:val="272727" w:themeColor="text1" w:themeTint="D8"/>
    </w:rPr>
  </w:style>
  <w:style w:type="paragraph" w:styleId="Title">
    <w:name w:val="Title"/>
    <w:basedOn w:val="Normal"/>
    <w:next w:val="Normal"/>
    <w:link w:val="TitleChar"/>
    <w:uiPriority w:val="10"/>
    <w:qFormat/>
    <w:rsid w:val="00073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064"/>
    <w:pPr>
      <w:spacing w:before="160"/>
      <w:jc w:val="center"/>
    </w:pPr>
    <w:rPr>
      <w:i/>
      <w:iCs/>
      <w:color w:val="404040" w:themeColor="text1" w:themeTint="BF"/>
    </w:rPr>
  </w:style>
  <w:style w:type="character" w:customStyle="1" w:styleId="QuoteChar">
    <w:name w:val="Quote Char"/>
    <w:basedOn w:val="DefaultParagraphFont"/>
    <w:link w:val="Quote"/>
    <w:uiPriority w:val="29"/>
    <w:rsid w:val="00073064"/>
    <w:rPr>
      <w:i/>
      <w:iCs/>
      <w:color w:val="404040" w:themeColor="text1" w:themeTint="BF"/>
    </w:rPr>
  </w:style>
  <w:style w:type="paragraph" w:styleId="ListParagraph">
    <w:name w:val="List Paragraph"/>
    <w:basedOn w:val="Normal"/>
    <w:uiPriority w:val="34"/>
    <w:qFormat/>
    <w:rsid w:val="00073064"/>
    <w:pPr>
      <w:ind w:left="720"/>
      <w:contextualSpacing/>
    </w:pPr>
  </w:style>
  <w:style w:type="character" w:styleId="IntenseEmphasis">
    <w:name w:val="Intense Emphasis"/>
    <w:basedOn w:val="DefaultParagraphFont"/>
    <w:uiPriority w:val="21"/>
    <w:qFormat/>
    <w:rsid w:val="00073064"/>
    <w:rPr>
      <w:i/>
      <w:iCs/>
      <w:color w:val="2F5496" w:themeColor="accent1" w:themeShade="BF"/>
    </w:rPr>
  </w:style>
  <w:style w:type="paragraph" w:styleId="IntenseQuote">
    <w:name w:val="Intense Quote"/>
    <w:basedOn w:val="Normal"/>
    <w:next w:val="Normal"/>
    <w:link w:val="IntenseQuoteChar"/>
    <w:uiPriority w:val="30"/>
    <w:qFormat/>
    <w:rsid w:val="00073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064"/>
    <w:rPr>
      <w:i/>
      <w:iCs/>
      <w:color w:val="2F5496" w:themeColor="accent1" w:themeShade="BF"/>
    </w:rPr>
  </w:style>
  <w:style w:type="character" w:styleId="IntenseReference">
    <w:name w:val="Intense Reference"/>
    <w:basedOn w:val="DefaultParagraphFont"/>
    <w:uiPriority w:val="32"/>
    <w:qFormat/>
    <w:rsid w:val="00073064"/>
    <w:rPr>
      <w:b/>
      <w:bCs/>
      <w:smallCaps/>
      <w:color w:val="2F5496" w:themeColor="accent1" w:themeShade="BF"/>
      <w:spacing w:val="5"/>
    </w:rPr>
  </w:style>
  <w:style w:type="character" w:styleId="Hyperlink">
    <w:name w:val="Hyperlink"/>
    <w:basedOn w:val="DefaultParagraphFont"/>
    <w:uiPriority w:val="99"/>
    <w:unhideWhenUsed/>
    <w:rsid w:val="00C33BA7"/>
    <w:rPr>
      <w:color w:val="0563C1" w:themeColor="hyperlink"/>
      <w:u w:val="single"/>
    </w:rPr>
  </w:style>
  <w:style w:type="character" w:styleId="UnresolvedMention">
    <w:name w:val="Unresolved Mention"/>
    <w:basedOn w:val="DefaultParagraphFont"/>
    <w:uiPriority w:val="99"/>
    <w:semiHidden/>
    <w:unhideWhenUsed/>
    <w:rsid w:val="00C33BA7"/>
    <w:rPr>
      <w:color w:val="605E5C"/>
      <w:shd w:val="clear" w:color="auto" w:fill="E1DFDD"/>
    </w:rPr>
  </w:style>
  <w:style w:type="character" w:styleId="FollowedHyperlink">
    <w:name w:val="FollowedHyperlink"/>
    <w:basedOn w:val="DefaultParagraphFont"/>
    <w:uiPriority w:val="99"/>
    <w:semiHidden/>
    <w:unhideWhenUsed/>
    <w:rsid w:val="00036B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ubmed.ncbi.nlm.nih.gov/4026664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ubmed.ncbi.nlm.nih.gov/3056979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ubmed.ncbi.nlm.nih.gov/3337607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ubmed.ncbi.nlm.nih.gov/25394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Jaison Philip</dc:creator>
  <cp:keywords/>
  <dc:description/>
  <cp:lastModifiedBy>Jaison Philip</cp:lastModifiedBy>
  <cp:revision>3</cp:revision>
  <dcterms:created xsi:type="dcterms:W3CDTF">2025-11-06T22:46:00Z</dcterms:created>
  <dcterms:modified xsi:type="dcterms:W3CDTF">2025-11-07T00:10:00Z</dcterms:modified>
</cp:coreProperties>
</file>