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65D"/>
          <w:sz w:val="40"/>
          <w:szCs w:val="40"/>
        </w:rPr>
        <w:t xml:space="preserve">Le processus d’Ornstein–Uhlenbeck</w:t>
      </w:r>
    </w:p>
    <w:p>
      <w:pPr>
        <w:pBdr>
          <w:bottom w:val="single" w:color="2C5282" w:sz="6" w:space="6"/>
        </w:pBdr>
        <w:spacing w:after="300"/>
        <w:jc w:val="center"/>
      </w:pPr>
      <w:r>
        <w:rPr>
          <w:i/>
          <w:iCs/>
          <w:color w:val="4A5568"/>
          <w:sz w:val="22"/>
          <w:szCs w:val="22"/>
        </w:rPr>
        <w:t xml:space="preserve">Cours compagnon du Projet EDS — fiche 1</w:t>
      </w:r>
    </w:p>
    <w:p>
      <w:pPr>
        <w:pStyle w:val="Heading1"/>
      </w:pPr>
      <w:r>
        <w:t xml:space="preserve">1. Définition</w:t>
      </w:r>
    </w:p>
    <w:p>
      <w:pPr>
        <w:spacing w:after="120" w:line="300"/>
        <w:jc w:val="both"/>
      </w:pPr>
      <w:r>
        <w:t xml:space="preserve">Un </w:t>
      </w:r>
      <w:r>
        <w:rPr>
          <w:b/>
          <w:bCs/>
        </w:rPr>
        <w:t xml:space="preserve">processus d’Ornstein–Uhlenbeck</w:t>
      </w:r>
      <w:r>
        <w:t xml:space="preserve"> (OU) est un processus stochastique </w:t>
      </w:r>
      <m:oMath>
        <m:sSub>
          <m:sSubPr/>
          <m:e>
            <m:d>
              <m:dPr/>
              <m:e>
                <m:sSub>
                  <m:sSubPr/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b>
            <m:r>
              <m:t>t≥0</m:t>
            </m:r>
          </m:sub>
        </m:sSub>
      </m:oMath>
      <w:r>
        <w:t xml:space="preserve"> solution de l’équation différentielle stochastique</w:t>
      </w:r>
    </w:p>
    <w:p>
      <w:pPr>
        <w:spacing w:after="160" w:before="160"/>
        <w:jc w:val="center"/>
      </w:pPr>
      <m:oMath>
        <m:sSub>
          <m:sSubPr/>
          <m:e>
            <m:r>
              <m:t>dX</m:t>
            </m:r>
          </m:e>
          <m:sub>
            <m:r>
              <m:t>t</m:t>
            </m:r>
          </m:sub>
        </m:sSub>
        <m:r>
          <m:t> = θ</m:t>
        </m:r>
        <m:d>
          <m:dPr/>
          <m:e>
            <m:r>
              <m:t>μ − </m:t>
            </m:r>
            <m:sSub>
              <m:sSubPr/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t> dt + σ</m:t>
        </m:r>
        <m:sSub>
          <m:sSubPr/>
          <m:e>
            <m:r>
              <m:t>dW</m:t>
            </m:r>
          </m:e>
          <m:sub>
            <m:r>
              <m:t>t</m:t>
            </m:r>
          </m:sub>
        </m:sSub>
      </m:oMath>
    </w:p>
    <w:p>
      <w:pPr>
        <w:spacing w:after="120" w:line="300"/>
        <w:jc w:val="both"/>
      </w:pPr>
      <w:r>
        <w:t xml:space="preserve">où </w:t>
      </w:r>
      <m:oMath>
        <m:sSub>
          <m:sSubPr/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est un mouvement brownien standard et où les trois paramètres sont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Paramètre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m:oMath>
              <m:r>
                <m:t>θ &gt; 0</m:t>
              </m:r>
            </m:oMath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vitesse de rappel : plus θ est grand, plus le processus revient vite vers 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m:oMath>
              <m:r>
                <m:t>μ ∈ ℝ</m:t>
              </m:r>
            </m:oMath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 moyen de long terme (la « cible » du rappel)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m:oMath>
              <m:r>
                <m:t>σ &gt; 0</m:t>
              </m:r>
            </m:oMath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intensité du bruit (volatilité, indépendante du niveau : bruit additif)</w:t>
            </w:r>
          </w:p>
        </w:tc>
      </w:tr>
    </w:tbl>
    <w:p>
      <w:pPr>
        <w:spacing w:after="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La dérive </w:t>
      </w:r>
      <m:oMath>
        <m:r>
          <m:t>θ</m:t>
        </m:r>
        <m:d>
          <m:dPr/>
          <m:e>
            <m:r>
              <m:t>μ − x</m:t>
            </m:r>
          </m:e>
        </m:d>
      </m:oMath>
      <w:r>
        <w:t xml:space="preserve"> change de signe autour de μ : elle pousse le processus vers le haut quand </w:t>
      </w:r>
      <m:oMath>
        <m:r>
          <m:t>x &lt; μ</m:t>
        </m:r>
      </m:oMath>
      <w:r>
        <w:t xml:space="preserve"> et vers le bas quand </w:t>
      </w:r>
      <m:oMath>
        <m:r>
          <m:t>x &gt; μ</m:t>
        </m:r>
      </m:oMath>
      <w:r>
        <w:t xml:space="preserve">. C’est la propriété de </w:t>
      </w:r>
      <w:r>
        <w:rPr>
          <w:b/>
          <w:bCs/>
        </w:rPr>
        <w:t xml:space="preserve">retour à la moyenne</w:t>
      </w:r>
      <w:r>
        <w:t xml:space="preserve"> (mean reversion), à opposer au brownien arithmétique qui diffuse sans jamais être rappelé. </w:t>
      </w:r>
      <w:r>
        <w:t xml:space="preserve">Le processus OU est le seul processus à la fois gaussien, markovien et stationnaire (à la loi initiale près).</w:t>
      </w:r>
    </w:p>
    <w:p>
      <w:pPr>
        <w:pStyle w:val="Heading1"/>
      </w:pPr>
      <w:r>
        <w:t xml:space="preserve">2. Résolution explicite</w:t>
      </w:r>
    </w:p>
    <w:p>
      <w:pPr>
        <w:spacing w:after="120" w:line="300"/>
        <w:jc w:val="both"/>
      </w:pPr>
      <w:r>
        <w:t xml:space="preserve">C’est l’une des rares EDS que l’on sait résoudre exactement. Méthode de la </w:t>
      </w:r>
      <w:r>
        <w:rPr>
          <w:b/>
          <w:bCs/>
        </w:rPr>
        <w:t xml:space="preserve">variation de la constante</w:t>
      </w:r>
      <w:r>
        <w:t xml:space="preserve"> : on pose </w:t>
      </w:r>
      <m:oMath>
        <m:sSub>
          <m:sSubPr/>
          <m:e>
            <m:r>
              <m:t>Y</m:t>
            </m:r>
          </m:e>
          <m:sub>
            <m:r>
              <m:t>t</m:t>
            </m:r>
          </m:sub>
        </m:sSub>
        <m:r>
          <m:t> = </m:t>
        </m:r>
        <m:sSup>
          <m:sSupPr/>
          <m:e>
            <m:r>
              <m:t>e</m:t>
            </m:r>
          </m:e>
          <m:sup>
            <m:r>
              <m:t>θt</m:t>
            </m:r>
          </m:sup>
        </m:sSup>
        <m:d>
          <m:dPr/>
          <m:e>
            <m:sSub>
              <m:sSubPr/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t> − μ</m:t>
            </m:r>
          </m:e>
        </m:d>
      </m:oMath>
      <w:r>
        <w:t xml:space="preserve">. La formule d’Itô (ici sans terme du second ordre, car </w:t>
      </w:r>
      <m:oMath>
        <m:r>
          <m:t>x ↦ </m:t>
        </m:r>
        <m:sSup>
          <m:sSupPr/>
          <m:e>
            <m:r>
              <m:t>e</m:t>
            </m:r>
          </m:e>
          <m:sup>
            <m:r>
              <m:t>θt</m:t>
            </m:r>
          </m:sup>
        </m:sSup>
        <m:r>
          <m:t>x</m:t>
        </m:r>
      </m:oMath>
      <w:r>
        <w:t xml:space="preserve"> est linéaire en x) donne</w:t>
      </w:r>
    </w:p>
    <w:p>
      <w:pPr>
        <w:spacing w:after="160" w:before="160"/>
        <w:jc w:val="center"/>
      </w:pPr>
      <m:oMath>
        <m:sSub>
          <m:sSubPr/>
          <m:e>
            <m:r>
              <m:t>dY</m:t>
            </m:r>
          </m:e>
          <m:sub>
            <m:r>
              <m:t>t</m:t>
            </m:r>
          </m:sub>
        </m:sSub>
        <m:r>
          <m:t> = θ</m:t>
        </m:r>
        <m:sSup>
          <m:sSupPr/>
          <m:e>
            <m:r>
              <m:t>e</m:t>
            </m:r>
          </m:e>
          <m:sup>
            <m:r>
              <m:t>θt</m:t>
            </m:r>
          </m:sup>
        </m:sSup>
        <m:d>
          <m:dPr/>
          <m:e>
            <m:sSub>
              <m:sSubPr/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t> − μ</m:t>
            </m:r>
          </m:e>
        </m:d>
        <m:r>
          <m:t> dt + </m:t>
        </m:r>
        <m:sSup>
          <m:sSupPr/>
          <m:e>
            <m:r>
              <m:t>e</m:t>
            </m:r>
          </m:e>
          <m:sup>
            <m:r>
              <m:t>θt</m:t>
            </m:r>
          </m:sup>
        </m:sSup>
        <m:sSub>
          <m:sSubPr/>
          <m:e>
            <m:r>
              <m:t>dX</m:t>
            </m:r>
          </m:e>
          <m:sub>
            <m:r>
              <m:t>t</m:t>
            </m:r>
          </m:sub>
        </m:sSub>
        <m:r>
          <m:t> = σ</m:t>
        </m:r>
        <m:sSup>
          <m:sSupPr/>
          <m:e>
            <m:r>
              <m:t>e</m:t>
            </m:r>
          </m:e>
          <m:sup>
            <m:r>
              <m:t>θt</m:t>
            </m:r>
          </m:sup>
        </m:sSup>
        <m:sSub>
          <m:sSubPr/>
          <m:e>
            <m:r>
              <m:t>dW</m:t>
            </m:r>
          </m:e>
          <m:sub>
            <m:r>
              <m:t>t</m:t>
            </m:r>
          </m:sub>
        </m:sSub>
      </m:oMath>
    </w:p>
    <w:p>
      <w:pPr>
        <w:spacing w:after="120" w:line="300"/>
        <w:jc w:val="both"/>
      </w:pPr>
      <w:r>
        <w:t xml:space="preserve">Le terme de dérive disparaît : </w:t>
      </w:r>
      <m:oMath>
        <m:sSub>
          <m:sSubPr/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est une intégrale de Wiener. En intégrant puis en revenant à </w:t>
      </w:r>
      <m:oMath>
        <m:sSub>
          <m:sSubPr/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:</w:t>
      </w:r>
    </w:p>
    <w:p>
      <w:pPr>
        <w:spacing w:after="160" w:before="160"/>
        <w:jc w:val="center"/>
      </w:pPr>
      <m:oMath>
        <m:sSub>
          <m:sSubPr/>
          <m:e>
            <m:r>
              <m:t>X</m:t>
            </m:r>
          </m:e>
          <m:sub>
            <m:r>
              <m:t>t</m:t>
            </m:r>
          </m:sub>
        </m:sSub>
        <m:r>
          <m:t> = μ + </m:t>
        </m:r>
        <m:d>
          <m:dPr/>
          <m:e>
            <m:sSub>
              <m:sSubPr/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− μ</m:t>
            </m:r>
          </m:e>
        </m:d>
        <m:sSup>
          <m:sSupPr/>
          <m:e>
            <m:r>
              <m:t>e</m:t>
            </m:r>
          </m:e>
          <m:sup>
            <m:r>
              <m:t>−θt</m:t>
            </m:r>
          </m:sup>
        </m:sSup>
        <m:r>
          <m:t> + σ</m:t>
        </m:r>
        <m:sSubSup>
          <m:sSubSupPr/>
          <m:e>
            <m:r>
              <m:t>∫</m:t>
            </m:r>
          </m:e>
          <m:sub>
            <m:r>
              <m:t>0</m:t>
            </m:r>
          </m:sub>
          <m:sup>
            <m:r>
              <m:t>t</m:t>
            </m:r>
          </m:sup>
        </m:sSubSup>
        <m:sSup>
          <m:sSupPr/>
          <m:e>
            <m:r>
              <m:t>e</m:t>
            </m:r>
          </m:e>
          <m:sup>
            <m:r>
              <m:t>−θ(t−s)</m:t>
            </m:r>
          </m:sup>
        </m:sSup>
        <m:r>
          <m:t> </m:t>
        </m:r>
        <m:sSub>
          <m:sSubPr/>
          <m:e>
            <m:r>
              <m:t>dW</m:t>
            </m:r>
          </m:e>
          <m:sub>
            <m:r>
              <m:t>s</m:t>
            </m:r>
          </m:sub>
        </m:sSub>
      </m:oMath>
    </w:p>
    <w:p>
      <w:pPr>
        <w:spacing w:after="120" w:line="300"/>
        <w:jc w:val="both"/>
      </w:pPr>
      <w:r>
        <w:t xml:space="preserve">Lecture : la condition initiale s’oublie exponentiellement vite (facteur </w:t>
      </w:r>
      <m:oMath>
        <m:sSup>
          <m:sSupPr/>
          <m:e>
            <m:r>
              <m:t>e</m:t>
            </m:r>
          </m:e>
          <m:sup>
            <m:r>
              <m:t>−θt</m:t>
            </m:r>
          </m:sup>
        </m:sSup>
      </m:oMath>
      <w:r>
        <w:t xml:space="preserve">), et le bruit passé est lui aussi amorti exponentiellement — les chocs récents comptent plus que les anciens.</w:t>
      </w:r>
    </w:p>
    <w:p>
      <w:pPr>
        <w:pStyle w:val="Heading1"/>
      </w:pPr>
      <w:r>
        <w:t xml:space="preserve">3. Loi du processus</w:t>
      </w:r>
    </w:p>
    <w:p>
      <w:pPr>
        <w:spacing w:after="120" w:line="300"/>
        <w:jc w:val="both"/>
      </w:pPr>
      <w:r>
        <w:t xml:space="preserve">L’intégrale de Wiener d’une fonction déterministe étant gaussienne, </w:t>
      </w:r>
      <m:oMath>
        <m:sSub>
          <m:sSubPr/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est </w:t>
      </w:r>
      <w:r>
        <w:rPr>
          <w:b/>
          <w:bCs/>
        </w:rPr>
        <w:t xml:space="preserve">gaussien</w:t>
      </w:r>
      <w:r>
        <w:t xml:space="preserve"> pour tout t (si </w:t>
      </w:r>
      <m:oMath>
        <m:sSub>
          <m:sSubPr/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est déterministe ou gaussien). Par isométrie d’Itô :</w:t>
      </w:r>
    </w:p>
    <w:p>
      <w:pPr>
        <w:spacing w:after="160" w:before="160"/>
        <w:jc w:val="center"/>
      </w:pPr>
      <m:oMath>
        <m:r>
          <m:t>𝔼</m:t>
        </m:r>
        <m:d>
          <m:dPr>
            <m:begChr m:val="["/>
            <m:endChr m:val="]"/>
          </m:dPr>
          <m:e>
            <m:sSub>
              <m:sSubPr/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t> = μ + </m:t>
        </m:r>
        <m:d>
          <m:dPr/>
          <m:e>
            <m:sSub>
              <m:sSubPr/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− μ</m:t>
            </m:r>
          </m:e>
        </m:d>
        <m:sSup>
          <m:sSupPr/>
          <m:e>
            <m:r>
              <m:t>e</m:t>
            </m:r>
          </m:e>
          <m:sup>
            <m:r>
              <m:t>−θt</m:t>
            </m:r>
          </m:sup>
        </m:sSup>
      </m:oMath>
    </w:p>
    <w:p>
      <w:pPr>
        <w:spacing w:after="160" w:before="160"/>
        <w:jc w:val="center"/>
      </w:pPr>
      <m:oMath>
        <m:r>
          <m:t>Var</m:t>
        </m:r>
        <m:d>
          <m:dPr/>
          <m:e>
            <m:sSub>
              <m:sSubPr/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t> = </m:t>
        </m:r>
        <m:f>
          <m:num>
            <m:sSup>
              <m:sSupPr/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2θ</m:t>
            </m:r>
          </m:den>
        </m:f>
        <m:d>
          <m:dPr/>
          <m:e>
            <m:r>
              <m:t>1 − </m:t>
            </m:r>
            <m:sSup>
              <m:sSupPr/>
              <m:e>
                <m:r>
                  <m:t>e</m:t>
                </m:r>
              </m:e>
              <m:sup>
                <m:r>
                  <m:t>−2θt</m:t>
                </m:r>
              </m:sup>
            </m:sSup>
          </m:e>
        </m:d>
      </m:oMath>
    </w:p>
    <w:p>
      <w:pPr>
        <w:spacing w:after="160" w:before="160"/>
        <w:jc w:val="center"/>
      </w:pPr>
      <m:oMath>
        <m:r>
          <m:t>Cov</m:t>
        </m:r>
        <m:d>
          <m:dPr/>
          <m:e>
            <m:sSub>
              <m:sSubPr/>
              <m:e>
                <m:r>
                  <m:t>X</m:t>
                </m:r>
              </m:e>
              <m:sub>
                <m:r>
                  <m:t>s</m:t>
                </m:r>
              </m:sub>
            </m:sSub>
            <m:r>
              <m:t>, </m:t>
            </m:r>
            <m:sSub>
              <m:sSubPr/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t> = </m:t>
        </m:r>
        <m:f>
          <m:num>
            <m:sSup>
              <m:sSupPr/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2θ</m:t>
            </m:r>
          </m:den>
        </m:f>
        <m:d>
          <m:dPr/>
          <m:e>
            <m:sSup>
              <m:sSupPr/>
              <m:e>
                <m:r>
                  <m:t>e</m:t>
                </m:r>
              </m:e>
              <m:sup>
                <m:r>
                  <m:t>−θ|t−s|</m:t>
                </m:r>
              </m:sup>
            </m:sSup>
            <m:r>
              <m:t> − </m:t>
            </m:r>
            <m:sSup>
              <m:sSupPr/>
              <m:e>
                <m:r>
                  <m:t>e</m:t>
                </m:r>
              </m:e>
              <m:sup>
                <m:r>
                  <m:t>−θ(t+s)</m:t>
                </m:r>
              </m:sup>
            </m:sSup>
          </m:e>
        </m:d>
      </m:oMath>
    </w:p>
    <w:p>
      <w:pPr>
        <w:spacing w:after="120" w:line="300"/>
        <w:jc w:val="both"/>
      </w:pPr>
      <w:r>
        <w:t xml:space="preserve">La variance est croissante et bornée : contrairement au brownien (variance </w:t>
      </w:r>
      <m:oMath>
        <m:sSup>
          <m:sSupPr/>
          <m:e>
            <m:r>
              <m:t>σ</m:t>
            </m:r>
          </m:e>
          <m:sup>
            <m:r>
              <m:t>2</m:t>
            </m:r>
          </m:sup>
        </m:sSup>
        <m:r>
          <m:t>t</m:t>
        </m:r>
      </m:oMath>
      <w:r>
        <w:t xml:space="preserve"> qui explose), le rappel équilibre la diffusion et la variance sature à </w:t>
      </w:r>
      <m:oMath>
        <m:f>
          <m:num>
            <m:sSup>
              <m:sSupPr/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2θ</m:t>
            </m:r>
          </m:den>
        </m:f>
      </m:oMath>
      <w:r>
        <w:t xml:space="preserve">.</w:t>
      </w:r>
    </w:p>
    <w:p>
      <w:pPr>
        <w:pStyle w:val="Heading1"/>
      </w:pPr>
      <w:r>
        <w:t xml:space="preserve">4. Comportement en temps long</w:t>
      </w:r>
    </w:p>
    <w:p>
      <w:pPr>
        <w:spacing w:after="120" w:line="300"/>
        <w:jc w:val="both"/>
      </w:pPr>
      <w:r>
        <w:t xml:space="preserve">Quand </w:t>
      </w:r>
      <m:oMath>
        <m:r>
          <m:t>t → ∞</m:t>
        </m:r>
      </m:oMath>
      <w:r>
        <w:t xml:space="preserve">, quelle que soit la condition initiale :</w:t>
      </w:r>
    </w:p>
    <w:p>
      <w:pPr>
        <w:spacing w:after="160" w:before="160"/>
        <w:jc w:val="center"/>
      </w:pPr>
      <m:oMath>
        <m:sSub>
          <m:sSubPr/>
          <m:e>
            <m:r>
              <m:t>X</m:t>
            </m:r>
          </m:e>
          <m:sub>
            <m:r>
              <m:t>t</m:t>
            </m:r>
          </m:sub>
        </m:sSub>
        <m:r>
          <m:t> ⟶ 𝒩</m:t>
        </m:r>
        <m:d>
          <m:dPr/>
          <m:e>
            <m:r>
              <m:t>μ, </m:t>
            </m:r>
            <m:f>
              <m:num>
                <m:sSup>
                  <m:sSupPr/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2θ</m:t>
                </m:r>
              </m:den>
            </m:f>
          </m:e>
        </m:d>
        <m:r>
          <m:t>   (loi stationnaire)</m:t>
        </m:r>
      </m:oMath>
    </w:p>
    <w:p>
      <w:pPr>
        <w:spacing w:after="120" w:line="300"/>
        <w:jc w:val="both"/>
      </w:pPr>
      <w:r>
        <w:t xml:space="preserve">Si l’on démarre le processus sous cette loi, il est </w:t>
      </w:r>
      <w:r>
        <w:rPr>
          <w:b/>
          <w:bCs/>
        </w:rPr>
        <w:t xml:space="preserve">strictement stationnaire</w:t>
      </w:r>
      <w:r>
        <w:t xml:space="preserve"> : toutes ses lois marginales sont invariantes dans le temps. Le processus est aussi ergodique : </w:t>
      </w:r>
      <w:r>
        <w:t xml:space="preserve">les moyennes temporelles convergent vers les moyennes en loi. </w:t>
      </w:r>
      <w:r>
        <w:t xml:space="preserve">L’échelle de temps du rappel se lit sur l’autocovariance en </w:t>
      </w:r>
      <m:oMath>
        <m:sSup>
          <m:sSupPr/>
          <m:e>
            <m:r>
              <m:t>e</m:t>
            </m:r>
          </m:e>
          <m:sup>
            <m:r>
              <m:t>−θ|t−s|</m:t>
            </m:r>
          </m:sup>
        </m:sSup>
      </m:oMath>
      <w:r>
        <w:t xml:space="preserve"> : le temps caractéristique est </w:t>
      </w:r>
      <m:oMath>
        <m:r>
          <m:t>1/θ</m:t>
        </m:r>
      </m:oMath>
      <w:r>
        <w:t xml:space="preserve">, et la « demi-vie » d’un écart à μ vaut</w:t>
      </w:r>
    </w:p>
    <w:p>
      <w:pPr>
        <w:spacing w:after="160" w:before="160"/>
        <w:jc w:val="center"/>
      </w:pPr>
      <m:oMath>
        <m:sSub>
          <m:sSubPr/>
          <m:e>
            <m:r>
              <m:t>t</m:t>
            </m:r>
          </m:e>
          <m:sub>
            <m:r>
              <m:t>1/2</m:t>
            </m:r>
          </m:sub>
        </m:sSub>
        <m:r>
          <m:t> = </m:t>
        </m:r>
        <m:f>
          <m:num>
            <m:r>
              <m:t>ln 2</m:t>
            </m:r>
          </m:num>
          <m:den>
            <m:r>
              <m:t>θ</m:t>
            </m:r>
          </m:den>
        </m:f>
      </m:oMath>
    </w:p>
    <w:p>
      <w:pPr>
        <w:spacing w:after="120" w:line="300"/>
        <w:jc w:val="both"/>
      </w:pPr>
      <w:r>
        <w:t xml:space="preserve">C’est le paramètre que les praticiens estiment en premier : il répond à « en combien de temps un choc est-il résorbé de moitié ? ».</w:t>
      </w:r>
    </w:p>
    <w:p>
      <w:pPr>
        <w:pStyle w:val="Heading1"/>
      </w:pPr>
      <w:r>
        <w:t xml:space="preserve">5. Simulation</w:t>
      </w:r>
    </w:p>
    <w:p>
      <w:pPr>
        <w:pStyle w:val="Heading2"/>
      </w:pPr>
      <w:r>
        <w:t xml:space="preserve">5.1 Schéma exact</w:t>
      </w:r>
    </w:p>
    <w:p>
      <w:pPr>
        <w:spacing w:after="120" w:line="300"/>
        <w:jc w:val="both"/>
      </w:pPr>
      <w:r>
        <w:t xml:space="preserve">La solution explicite entre deux instants distants de h fournit une récurrence </w:t>
      </w:r>
      <w:r>
        <w:rPr>
          <w:b/>
          <w:bCs/>
        </w:rPr>
        <w:t xml:space="preserve">exacte en loi</w:t>
      </w:r>
      <w:r>
        <w:t xml:space="preserve"> (c’est un AR(1) gaussien) :</w:t>
      </w:r>
    </w:p>
    <w:p>
      <w:pPr>
        <w:spacing w:after="160" w:before="160"/>
        <w:jc w:val="center"/>
      </w:pPr>
      <m:oMath>
        <m:sSub>
          <m:sSubPr/>
          <m:e>
            <m:r>
              <m:t>X</m:t>
            </m:r>
          </m:e>
          <m:sub>
            <m:r>
              <m:t>n+1</m:t>
            </m:r>
          </m:sub>
        </m:sSub>
        <m:r>
          <m:t> = μ + </m:t>
        </m:r>
        <m:d>
          <m:dPr/>
          <m:e>
            <m:sSub>
              <m:sSubPr/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t> − μ</m:t>
            </m:r>
          </m:e>
        </m:d>
        <m:sSup>
          <m:sSupPr/>
          <m:e>
            <m:r>
              <m:t>e</m:t>
            </m:r>
          </m:e>
          <m:sup>
            <m:r>
              <m:t>−θh</m:t>
            </m:r>
          </m:sup>
        </m:sSup>
        <m:r>
          <m:t> + σ</m:t>
        </m:r>
        <m:rad>
          <m:radPr>
            <m:degHide m:val="1"/>
          </m:radPr>
          <m:deg/>
          <m:e>
            <m:f>
              <m:num>
                <m:r>
                  <m:t>1 − </m:t>
                </m:r>
                <m:sSup>
                  <m:sSupPr/>
                  <m:e>
                    <m:r>
                      <m:t>e</m:t>
                    </m:r>
                  </m:e>
                  <m:sup>
                    <m:r>
                      <m:t>−2θh</m:t>
                    </m:r>
                  </m:sup>
                </m:sSup>
              </m:num>
              <m:den>
                <m:r>
                  <m:t>2θ</m:t>
                </m:r>
              </m:den>
            </m:f>
          </m:e>
        </m:rad>
        <m:r>
          <m:t> </m:t>
        </m:r>
        <m:sSub>
          <m:sSubPr/>
          <m:e>
            <m:r>
              <m:t>Z</m:t>
            </m:r>
          </m:e>
          <m:sub>
            <m:r>
              <m:t>n</m:t>
            </m:r>
          </m:sub>
        </m:sSub>
        <m:r>
          <m:t>,   </m:t>
        </m:r>
        <m:sSub>
          <m:sSubPr/>
          <m:e>
            <m:r>
              <m:t>Z</m:t>
            </m:r>
          </m:e>
          <m:sub>
            <m:r>
              <m:t>n</m:t>
            </m:r>
          </m:sub>
        </m:sSub>
        <m:r>
          <m:t> ∼ 𝒩(0,1) i.i.d.</m:t>
        </m:r>
      </m:oMath>
    </w:p>
    <w:p>
      <w:pPr>
        <w:spacing w:after="120" w:line="300"/>
        <w:jc w:val="both"/>
      </w:pPr>
      <w:r>
        <w:t xml:space="preserve">Aucune erreur de discrétisation, quel que soit le pas h : à privilégier dès qu’on simule un OU seul.</w:t>
      </w:r>
    </w:p>
    <w:p>
      <w:pPr>
        <w:pStyle w:val="Heading2"/>
      </w:pPr>
      <w:r>
        <w:t xml:space="preserve">5.2 Euler–Maruyama</w:t>
      </w:r>
    </w:p>
    <w:p>
      <w:pPr>
        <w:spacing w:after="160" w:before="160"/>
        <w:jc w:val="center"/>
      </w:pPr>
      <m:oMath>
        <m:sSub>
          <m:sSubPr/>
          <m:e>
            <m:r>
              <m:t>X</m:t>
            </m:r>
          </m:e>
          <m:sub>
            <m:r>
              <m:t>n+1</m:t>
            </m:r>
          </m:sub>
        </m:sSub>
        <m:r>
          <m:t> = </m:t>
        </m:r>
        <m:sSub>
          <m:sSubPr/>
          <m:e>
            <m:r>
              <m:t>X</m:t>
            </m:r>
          </m:e>
          <m:sub>
            <m:r>
              <m:t>n</m:t>
            </m:r>
          </m:sub>
        </m:sSub>
        <m:r>
          <m:t> + θ</m:t>
        </m:r>
        <m:d>
          <m:dPr/>
          <m:e>
            <m:r>
              <m:t>μ − </m:t>
            </m:r>
            <m:sSub>
              <m:sSubPr/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 h + σ</m:t>
        </m:r>
        <m:rad>
          <m:radPr>
            <m:degHide m:val="1"/>
          </m:radPr>
          <m:deg/>
          <m:e>
            <m:r>
              <m:t>h</m:t>
            </m:r>
          </m:e>
        </m:rad>
        <m:r>
          <m:t> </m:t>
        </m:r>
        <m:sSub>
          <m:sSubPr/>
          <m:e>
            <m:r>
              <m:t>Z</m:t>
            </m:r>
          </m:e>
          <m:sub>
            <m:r>
              <m:t>n</m:t>
            </m:r>
          </m:sub>
        </m:sSub>
      </m:oMath>
    </w:p>
    <w:p>
      <w:pPr>
        <w:spacing w:after="120" w:line="300"/>
        <w:jc w:val="both"/>
      </w:pPr>
      <w:r>
        <w:t xml:space="preserve">C’est le schéma générique du projet. Remarque : comme le bruit est </w:t>
      </w:r>
      <w:r>
        <w:rPr>
          <w:b/>
          <w:bCs/>
        </w:rPr>
        <w:t xml:space="preserve">additif</w:t>
      </w:r>
      <w:r>
        <w:t xml:space="preserve"> (σ constant, </w:t>
      </w:r>
      <m:oMath>
        <m:r>
          <m:t>b′ = 0</m:t>
        </m:r>
      </m:oMath>
      <w:r>
        <w:t xml:space="preserve">), le terme correctif de Milstein est nul — Euler et Milstein coïncident et l’ordre fort d’Euler passe de 1/2 à 1 sur ce processus. </w:t>
      </w:r>
      <w:r>
        <w:t xml:space="preserve">Comparer la trajectoire exacte et la trajectoire Euler à h donné est un excellent exercice de convergence forte.</w:t>
      </w:r>
    </w:p>
    <w:p>
      <w:pPr>
        <w:pStyle w:val="Heading1"/>
      </w:pPr>
      <w:r>
        <w:t xml:space="preserve">6. En finance : le modèle de Vasicek</w:t>
      </w:r>
    </w:p>
    <w:p>
      <w:pPr>
        <w:spacing w:after="120" w:line="300"/>
        <w:jc w:val="both"/>
      </w:pPr>
      <w:r>
        <w:t xml:space="preserve">Le modèle de </w:t>
      </w:r>
      <w:r>
        <w:rPr>
          <w:b/>
          <w:bCs/>
        </w:rPr>
        <w:t xml:space="preserve">Vasicek</w:t>
      </w:r>
      <w:r>
        <w:t xml:space="preserve"> (1977) pour le taux court est exactement un processus OU, avec les notations </w:t>
      </w:r>
      <m:oMath>
        <m:r>
          <m:t>κ = θ</m:t>
        </m:r>
      </m:oMath>
      <w:r>
        <w:t xml:space="preserve"> (vitesse), </w:t>
      </w:r>
      <m:oMath>
        <m:r>
          <m:t>θ = μ</m:t>
        </m:r>
      </m:oMath>
      <w:r>
        <w:t xml:space="preserve"> (cible) :</w:t>
      </w:r>
    </w:p>
    <w:p>
      <w:pPr>
        <w:spacing w:after="160" w:before="160"/>
        <w:jc w:val="center"/>
      </w:pPr>
      <m:oMath>
        <m:sSub>
          <m:sSubPr/>
          <m:e>
            <m:r>
              <m:t>dr</m:t>
            </m:r>
          </m:e>
          <m:sub>
            <m:r>
              <m:t>t</m:t>
            </m:r>
          </m:sub>
        </m:sSub>
        <m:r>
          <m:t> = κ</m:t>
        </m:r>
        <m:d>
          <m:dPr/>
          <m:e>
            <m:r>
              <m:t>θ − </m:t>
            </m:r>
            <m:sSub>
              <m:sSubPr/>
              <m:e>
                <m:r>
                  <m:t>r</m:t>
                </m:r>
              </m:e>
              <m:sub>
                <m:r>
                  <m:t>t</m:t>
                </m:r>
              </m:sub>
            </m:sSub>
          </m:e>
        </m:d>
        <m:r>
          <m:t> dt + σ</m:t>
        </m:r>
        <m:sSub>
          <m:sSubPr/>
          <m:e>
            <m:r>
              <m:t>dW</m:t>
            </m:r>
          </m:e>
          <m:sub>
            <m:r>
              <m:t>t</m:t>
            </m:r>
          </m:sub>
        </m:sSub>
      </m:oMath>
    </w:p>
    <w:p>
      <w:pPr>
        <w:spacing w:after="120" w:line="300"/>
        <w:jc w:val="both"/>
      </w:pPr>
      <w:r>
        <w:t xml:space="preserve">C’est l’étape 4 de ton projet : la classe </w:t>
      </w:r>
      <w:r>
        <w:rPr>
          <w:rFonts w:ascii="Consolas" w:cs="Consolas" w:eastAsia="Consolas" w:hAnsi="Consolas"/>
        </w:rPr>
        <w:t xml:space="preserve">Vasicek</w:t>
      </w:r>
      <w:r>
        <w:t xml:space="preserve"> de </w:t>
      </w:r>
      <w:r>
        <w:rPr>
          <w:rFonts w:ascii="Consolas" w:cs="Consolas" w:eastAsia="Consolas" w:hAnsi="Consolas"/>
        </w:rPr>
        <w:t xml:space="preserve">sde_lab/models.py</w:t>
      </w:r>
      <w:r>
        <w:t xml:space="preserve"> implémente la dérive et la diffusion ci-dessus, et les tests vérifient tes formules de moyenne, de variance et le prix d’obligation zéro-coupon contre la simulation. </w:t>
      </w:r>
      <w:r>
        <w:t xml:space="preserve">Le caractère gaussien rend le modèle très maniable (formules fermées) mais autorise des taux négatifs — c’est la motivation du modèle CIR, qui remplace σ par </w:t>
      </w:r>
      <m:oMath>
        <m:r>
          <m:t>σ</m:t>
        </m:r>
        <m:rad>
          <m:radPr>
            <m:degHide m:val="1"/>
          </m:radPr>
          <m:deg/>
          <m:e>
            <m:sSub>
              <m:sSubPr/>
              <m:e>
                <m:r>
                  <m:t>r</m:t>
                </m:r>
              </m:e>
              <m:sub>
                <m:r>
                  <m:t>t</m:t>
                </m:r>
              </m:sub>
            </m:sSub>
          </m:e>
        </m:rad>
      </m:oMath>
      <w:r>
        <w:t xml:space="preserve"> et que tu traites juste après. On retrouve aussi l’OU pour modéliser des spreads (pairs trading), le log de la volatilité, ou les prix de matières premières (Schwartz).</w:t>
      </w:r>
    </w:p>
    <w:p>
      <w:pPr>
        <w:pStyle w:val="Heading1"/>
      </w:pPr>
      <w:r>
        <w:t xml:space="preserve">7. À retenir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Dérive de rappel </w:t>
      </w:r>
      <m:oMath>
        <m:r>
          <m:t>θ</m:t>
        </m:r>
        <m:d>
          <m:dPr/>
          <m:e>
            <m:r>
              <m:t>μ − x</m:t>
            </m:r>
          </m:e>
        </m:d>
      </m:oMath>
      <w:r>
        <w:t xml:space="preserve"> + bruit additif σ : gaussien, markovien, stationnaire.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Solution explicite par facteur intégrant </w:t>
      </w:r>
      <m:oMath>
        <m:sSup>
          <m:sSupPr/>
          <m:e>
            <m:r>
              <m:t>e</m:t>
            </m:r>
          </m:e>
          <m:sup>
            <m:r>
              <m:t>θt</m:t>
            </m:r>
          </m:sup>
        </m:sSup>
      </m:oMath>
      <w:r>
        <w:t xml:space="preserve"> ; chocs amortis exponentiellement.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Variance bornée </w:t>
      </w:r>
      <m:oMath>
        <m:f>
          <m:num>
            <m:sSup>
              <m:sSupPr/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2θ</m:t>
            </m:r>
          </m:den>
        </m:f>
      </m:oMath>
      <w:r>
        <w:t xml:space="preserve"> ; loi stationnaire </w:t>
      </w:r>
      <m:oMath>
        <m:r>
          <m:t>𝒩</m:t>
        </m:r>
        <m:d>
          <m:dPr/>
          <m:e>
            <m:r>
              <m:t>μ, </m:t>
            </m:r>
            <m:f>
              <m:num>
                <m:sSup>
                  <m:sSupPr/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2θ</m:t>
                </m:r>
              </m:den>
            </m:f>
          </m:e>
        </m:d>
      </m:oMath>
      <w:r>
        <w:t xml:space="preserve"> ; demi-vie </w:t>
      </w:r>
      <m:oMath>
        <m:r>
          <m:t>ln 2 / θ</m:t>
        </m:r>
      </m:oMath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Simulation : schéma exact AR(1) sans biais ; Euler = Milstein (bruit additif), ordre fort 1 ici.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Vasicek = OU sur le taux court ; limite (taux négatifs) → CIR.</w:t>
      </w:r>
    </w:p>
    <w:p>
      <w:pPr>
        <w:pStyle w:val="Heading1"/>
      </w:pPr>
      <w:r>
        <w:t xml:space="preserve">8. Exercices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Vérifier par Itô que la solution explicite de la section 2 satisfait bien l’EDS de départ.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Retrouver la variance stationnaire en passant à la limite t → ∞, puis en résolvant l’équation 0 = d Var/dt.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Simuler (avec ton euler_maruyama de l’étape 1) un OU avec θ = 2, μ = 0,05, σ = 0,02, X₀ = 0,10, T = 5 : vérifier numériquement la moyenne, la variance et la demi-vie théoriques.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Comparer sur les mêmes tirages browniens le schéma exact et Euler pour h = 1, 1/4, 1/16 : estimer l’ordre fort observé.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18096"/>
        <w:sz w:val="18"/>
        <w:szCs w:val="18"/>
      </w:rPr>
      <w:t xml:space="preserve">Projet EDS — cours</w:t>
    </w:r>
    <w:r>
      <w:rPr>
        <w:sz w:val="18"/>
        <w:szCs w:val="18"/>
      </w:rPr>
      <w:t xml:space="preserve">	</w:t>
    </w:r>
    <w:r>
      <w:rPr>
        <w:color w:val="71809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2026-07-05T18:38:09.409Z</dcterms:created>
  <dcterms:modified xsi:type="dcterms:W3CDTF">2026-07-05T18:38:09.409Z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