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Compact"/>
        <w:numPr>
          <w:ilvl w:val="0"/>
          <w:numId w:val="1001"/>
        </w:numPr>
      </w:pPr>
      <w:hyperlink w:anchor="Xb2f2947fe567e195197bcebb4d6358b8d0a1d95">
        <w:r>
          <w:rPr>
            <w:rStyle w:val="Hyperlink"/>
          </w:rPr>
          <w:t xml:space="preserve">Documentation of data, parameter, and model structure</w:t>
        </w:r>
      </w:hyperlink>
    </w:p>
    <w:p>
      <w:pPr>
        <w:pStyle w:val="Compact"/>
        <w:numPr>
          <w:ilvl w:val="1"/>
          <w:numId w:val="1002"/>
        </w:numPr>
      </w:pPr>
      <w:hyperlink w:anchor="preface">
        <w:r>
          <w:rPr>
            <w:rStyle w:val="Hyperlink"/>
          </w:rPr>
          <w:t xml:space="preserve">Preface</w:t>
        </w:r>
      </w:hyperlink>
    </w:p>
    <w:p>
      <w:pPr>
        <w:pStyle w:val="Compact"/>
        <w:numPr>
          <w:ilvl w:val="1"/>
          <w:numId w:val="1002"/>
        </w:numPr>
      </w:pPr>
      <w:hyperlink w:anchor="summary">
        <w:r>
          <w:rPr>
            <w:rStyle w:val="Hyperlink"/>
          </w:rPr>
          <w:t xml:space="preserve">Summary</w:t>
        </w:r>
      </w:hyperlink>
    </w:p>
    <w:p>
      <w:pPr>
        <w:pStyle w:val="Compact"/>
        <w:numPr>
          <w:ilvl w:val="1"/>
          <w:numId w:val="1002"/>
        </w:numPr>
      </w:pPr>
      <w:hyperlink w:anchor="introduction">
        <w:r>
          <w:rPr>
            <w:rStyle w:val="Hyperlink"/>
          </w:rPr>
          <w:t xml:space="preserve">Introduction</w:t>
        </w:r>
      </w:hyperlink>
    </w:p>
    <w:p>
      <w:pPr>
        <w:pStyle w:val="Compact"/>
        <w:numPr>
          <w:ilvl w:val="1"/>
          <w:numId w:val="1002"/>
        </w:numPr>
      </w:pPr>
      <w:hyperlink w:anchor="model-formulation-and-specifications">
        <w:r>
          <w:rPr>
            <w:rStyle w:val="Hyperlink"/>
          </w:rPr>
          <w:t xml:space="preserve">Model formulation and specifications</w:t>
        </w:r>
      </w:hyperlink>
    </w:p>
    <w:p>
      <w:pPr>
        <w:pStyle w:val="Compact"/>
        <w:numPr>
          <w:ilvl w:val="2"/>
          <w:numId w:val="1003"/>
        </w:numPr>
      </w:pPr>
      <w:hyperlink w:anchor="demand">
        <w:r>
          <w:rPr>
            <w:rStyle w:val="Hyperlink"/>
          </w:rPr>
          <w:t xml:space="preserve">Demand:</w:t>
        </w:r>
      </w:hyperlink>
    </w:p>
    <w:p>
      <w:pPr>
        <w:pStyle w:val="Compact"/>
        <w:numPr>
          <w:ilvl w:val="2"/>
          <w:numId w:val="1003"/>
        </w:numPr>
      </w:pPr>
      <w:hyperlink w:anchor="supply">
        <w:r>
          <w:rPr>
            <w:rStyle w:val="Hyperlink"/>
          </w:rPr>
          <w:t xml:space="preserve">Supply:</w:t>
        </w:r>
      </w:hyperlink>
    </w:p>
    <w:p>
      <w:pPr>
        <w:pStyle w:val="Compact"/>
        <w:numPr>
          <w:ilvl w:val="2"/>
          <w:numId w:val="1003"/>
        </w:numPr>
      </w:pPr>
      <w:hyperlink w:anchor="manufacturing">
        <w:r>
          <w:rPr>
            <w:rStyle w:val="Hyperlink"/>
          </w:rPr>
          <w:t xml:space="preserve">Manufacturing:</w:t>
        </w:r>
      </w:hyperlink>
    </w:p>
    <w:p>
      <w:pPr>
        <w:pStyle w:val="Compact"/>
        <w:numPr>
          <w:ilvl w:val="2"/>
          <w:numId w:val="1003"/>
        </w:numPr>
      </w:pPr>
      <w:hyperlink w:anchor="trade">
        <w:r>
          <w:rPr>
            <w:rStyle w:val="Hyperlink"/>
          </w:rPr>
          <w:t xml:space="preserve">Trade:</w:t>
        </w:r>
      </w:hyperlink>
    </w:p>
    <w:p>
      <w:pPr>
        <w:pStyle w:val="Compact"/>
        <w:numPr>
          <w:ilvl w:val="2"/>
          <w:numId w:val="1003"/>
        </w:numPr>
      </w:pPr>
      <w:hyperlink w:anchor="forest">
        <w:r>
          <w:rPr>
            <w:rStyle w:val="Hyperlink"/>
          </w:rPr>
          <w:t xml:space="preserve">Forest</w:t>
        </w:r>
      </w:hyperlink>
    </w:p>
    <w:p>
      <w:pPr>
        <w:pStyle w:val="Compact"/>
        <w:numPr>
          <w:ilvl w:val="1"/>
          <w:numId w:val="1002"/>
        </w:numPr>
      </w:pPr>
      <w:hyperlink w:anchor="countries-and-products">
        <w:r>
          <w:rPr>
            <w:rStyle w:val="Hyperlink"/>
          </w:rPr>
          <w:t xml:space="preserve">Countries and Products</w:t>
        </w:r>
      </w:hyperlink>
    </w:p>
    <w:p>
      <w:pPr>
        <w:pStyle w:val="Compact"/>
        <w:numPr>
          <w:ilvl w:val="1"/>
          <w:numId w:val="1002"/>
        </w:numPr>
      </w:pPr>
      <w:hyperlink w:anchor="input-data-and-parameter">
        <w:r>
          <w:rPr>
            <w:rStyle w:val="Hyperlink"/>
          </w:rPr>
          <w:t xml:space="preserve">Input Data and Parameter</w:t>
        </w:r>
      </w:hyperlink>
    </w:p>
    <w:p>
      <w:pPr>
        <w:pStyle w:val="Compact"/>
        <w:numPr>
          <w:ilvl w:val="2"/>
          <w:numId w:val="1004"/>
        </w:numPr>
      </w:pPr>
      <w:hyperlink w:anchor="overview-on-input-data">
        <w:r>
          <w:rPr>
            <w:rStyle w:val="Hyperlink"/>
          </w:rPr>
          <w:t xml:space="preserve">Overview on Input Data</w:t>
        </w:r>
      </w:hyperlink>
    </w:p>
    <w:p>
      <w:pPr>
        <w:pStyle w:val="Compact"/>
        <w:numPr>
          <w:ilvl w:val="2"/>
          <w:numId w:val="1004"/>
        </w:numPr>
      </w:pPr>
      <w:hyperlink w:anchor="overview-on-parameters">
        <w:r>
          <w:rPr>
            <w:rStyle w:val="Hyperlink"/>
          </w:rPr>
          <w:t xml:space="preserve">Overview on Parameters</w:t>
        </w:r>
      </w:hyperlink>
    </w:p>
    <w:p>
      <w:pPr>
        <w:pStyle w:val="Compact"/>
        <w:numPr>
          <w:ilvl w:val="2"/>
          <w:numId w:val="1004"/>
        </w:numPr>
      </w:pPr>
      <w:hyperlink w:anchor="exogenous-parameter-development">
        <w:r>
          <w:rPr>
            <w:rStyle w:val="Hyperlink"/>
          </w:rPr>
          <w:t xml:space="preserve">Exogenous Parameter Development</w:t>
        </w:r>
      </w:hyperlink>
    </w:p>
    <w:p>
      <w:pPr>
        <w:pStyle w:val="Compact"/>
        <w:numPr>
          <w:ilvl w:val="1"/>
          <w:numId w:val="1002"/>
        </w:numPr>
      </w:pPr>
      <w:hyperlink w:anchor="computer-software">
        <w:r>
          <w:rPr>
            <w:rStyle w:val="Hyperlink"/>
          </w:rPr>
          <w:t xml:space="preserve">Computer software</w:t>
        </w:r>
      </w:hyperlink>
    </w:p>
    <w:p>
      <w:pPr>
        <w:pStyle w:val="Compact"/>
        <w:numPr>
          <w:ilvl w:val="1"/>
          <w:numId w:val="1002"/>
        </w:numPr>
      </w:pPr>
      <w:hyperlink w:anchor="validation">
        <w:r>
          <w:rPr>
            <w:rStyle w:val="Hyperlink"/>
          </w:rPr>
          <w:t xml:space="preserve">Validation</w:t>
        </w:r>
      </w:hyperlink>
    </w:p>
    <w:p>
      <w:pPr>
        <w:pStyle w:val="Compact"/>
        <w:numPr>
          <w:ilvl w:val="2"/>
          <w:numId w:val="1005"/>
        </w:numPr>
      </w:pPr>
      <w:hyperlink w:anchor="projection--historic-data-replication">
        <w:r>
          <w:rPr>
            <w:rStyle w:val="Hyperlink"/>
          </w:rPr>
          <w:t xml:space="preserve">Projection / historic data replication</w:t>
        </w:r>
      </w:hyperlink>
    </w:p>
    <w:p>
      <w:pPr>
        <w:pStyle w:val="Compact"/>
        <w:numPr>
          <w:ilvl w:val="2"/>
          <w:numId w:val="1005"/>
        </w:numPr>
      </w:pPr>
      <w:hyperlink w:anchor="inter-model-comparison">
        <w:r>
          <w:rPr>
            <w:rStyle w:val="Hyperlink"/>
          </w:rPr>
          <w:t xml:space="preserve">Inter-model comparison</w:t>
        </w:r>
      </w:hyperlink>
    </w:p>
    <w:p>
      <w:pPr>
        <w:pStyle w:val="Compact"/>
        <w:numPr>
          <w:ilvl w:val="2"/>
          <w:numId w:val="1005"/>
        </w:numPr>
      </w:pPr>
      <w:hyperlink w:anchor="economic-shocks--economic-behaviour">
        <w:r>
          <w:rPr>
            <w:rStyle w:val="Hyperlink"/>
          </w:rPr>
          <w:t xml:space="preserve">Economic shocks / economic behaviour</w:t>
        </w:r>
      </w:hyperlink>
    </w:p>
    <w:p>
      <w:pPr>
        <w:pStyle w:val="Compact"/>
        <w:numPr>
          <w:ilvl w:val="1"/>
          <w:numId w:val="1002"/>
        </w:numPr>
      </w:pPr>
      <w:hyperlink w:anchor="annex">
        <w:r>
          <w:rPr>
            <w:rStyle w:val="Hyperlink"/>
          </w:rPr>
          <w:t xml:space="preserve">Annex</w:t>
        </w:r>
      </w:hyperlink>
    </w:p>
    <w:p>
      <w:pPr>
        <w:pStyle w:val="Compact"/>
        <w:numPr>
          <w:ilvl w:val="2"/>
          <w:numId w:val="1006"/>
        </w:numPr>
      </w:pPr>
      <w:hyperlink w:anchor="parameter-list">
        <w:r>
          <w:rPr>
            <w:rStyle w:val="Hyperlink"/>
          </w:rPr>
          <w:t xml:space="preserve">Parameter list</w:t>
        </w:r>
      </w:hyperlink>
    </w:p>
    <w:p>
      <w:pPr>
        <w:pStyle w:val="FirstParagraph"/>
      </w:pPr>
      <w:r>
        <w:t xml:space="preserve">Timber market Model for policy-Based Analysis</w:t>
      </w:r>
    </w:p>
    <w:p>
      <w:pPr>
        <w:pStyle w:val="CaptionedFigure"/>
      </w:pPr>
      <w:r>
        <w:drawing>
          <wp:inline>
            <wp:extent cx="5334000" cy="2179426"/>
            <wp:effectExtent b="0" l="0" r="0" t="0"/>
            <wp:docPr descr="TiMBA Logo" title="" id="21" name="Picture"/>
            <a:graphic>
              <a:graphicData uri="http://schemas.openxmlformats.org/drawingml/2006/picture">
                <pic:pic>
                  <pic:nvPicPr>
                    <pic:cNvPr descr="..\timba_logo_v3.png" id="22" name="Picture"/>
                    <pic:cNvPicPr>
                      <a:picLocks noChangeArrowheads="1" noChangeAspect="1"/>
                    </pic:cNvPicPr>
                  </pic:nvPicPr>
                  <pic:blipFill>
                    <a:blip r:embed="rId20"/>
                    <a:stretch>
                      <a:fillRect/>
                    </a:stretch>
                  </pic:blipFill>
                  <pic:spPr bwMode="auto">
                    <a:xfrm>
                      <a:off x="0" y="0"/>
                      <a:ext cx="5334000" cy="2179426"/>
                    </a:xfrm>
                    <a:prstGeom prst="rect">
                      <a:avLst/>
                    </a:prstGeom>
                    <a:noFill/>
                    <a:ln w="9525">
                      <a:noFill/>
                      <a:headEnd/>
                      <a:tailEnd/>
                    </a:ln>
                  </pic:spPr>
                </pic:pic>
              </a:graphicData>
            </a:graphic>
          </wp:inline>
        </w:drawing>
      </w:r>
    </w:p>
    <w:p>
      <w:pPr>
        <w:pStyle w:val="ImageCaption"/>
      </w:pPr>
      <w:r>
        <w:t xml:space="preserve">TiMBA Logo</w:t>
      </w:r>
    </w:p>
    <w:bookmarkStart w:id="61" w:name="Xb2f2947fe567e195197bcebb4d6358b8d0a1d95"/>
    <w:p>
      <w:pPr>
        <w:pStyle w:val="Heading1"/>
      </w:pPr>
      <w:r>
        <w:t xml:space="preserve">Documentation of data, parameter, and model structure</w:t>
      </w:r>
    </w:p>
    <w:p>
      <w:pPr>
        <w:pStyle w:val="FirstParagraph"/>
      </w:pPr>
      <w:r>
        <w:t xml:space="preserve">authored by TI-FSM</w:t>
      </w:r>
    </w:p>
    <w:p>
      <w:pPr>
        <w:pStyle w:val="BodyText"/>
      </w:pPr>
      <w:r>
        <w:t xml:space="preserve">TI-FSM is an authors’ collective that jointly developed and program TiMBA. The members of the collective are – in alphabetical order – Tomke Honkomp, Christian Morland, Franziska Schier, and Julia Tandetzki</w:t>
      </w:r>
    </w:p>
    <w:bookmarkStart w:id="23" w:name="preface"/>
    <w:p>
      <w:pPr>
        <w:pStyle w:val="Heading2"/>
      </w:pPr>
      <w:r>
        <w:t xml:space="preserve">Preface</w:t>
      </w:r>
    </w:p>
    <w:p>
      <w:pPr>
        <w:pStyle w:val="FirstParagraph"/>
      </w:pPr>
      <w:r>
        <w:t xml:space="preserve">TIMBA is a partial economic equilibrium model for the global forest products market. The model endogenously simulates production,</w:t>
      </w:r>
      <w:r>
        <w:t xml:space="preserve"> </w:t>
      </w:r>
      <w:r>
        <w:t xml:space="preserve">consumption and trade of wood and wood-based products in 180 countries.</w:t>
      </w:r>
      <w:r>
        <w:t xml:space="preserve"> </w:t>
      </w:r>
      <w:r>
        <w:t xml:space="preserve">TIMBA computes the market equilibrium for each country and product in a given period by maximizing the social surplus in the global forest sector.</w:t>
      </w:r>
      <w:r>
        <w:t xml:space="preserve"> </w:t>
      </w:r>
      <w:r>
        <w:t xml:space="preserve">In the equilibrium processes, commodity production, consumption and prices are recursively balanced for each simulation period.</w:t>
      </w:r>
      <w:r>
        <w:t xml:space="preserve"> </w:t>
      </w:r>
      <w:r>
        <w:t xml:space="preserve">TiMBA is a Python-based model with a modular structure build entirely with open-access libraries.</w:t>
      </w:r>
    </w:p>
    <w:p>
      <w:pPr>
        <w:pStyle w:val="BodyText"/>
      </w:pPr>
      <w:r>
        <w:t xml:space="preserve">This work is the result of great joint efforts of the forest sector modelling team at the Thünen Institute of Forestry from 2018 to 2024.</w:t>
      </w:r>
      <w:r>
        <w:t xml:space="preserve"> </w:t>
      </w:r>
      <w:r>
        <w:t xml:space="preserve">In recent years, a number of people made important contributions to this work. Without their support, reflection, and constructive criticism,</w:t>
      </w:r>
      <w:r>
        <w:t xml:space="preserve"> </w:t>
      </w:r>
      <w:r>
        <w:t xml:space="preserve">this undertaking would not have been as successful as it turns out to be now. We would like express our gratitude to all of them.</w:t>
      </w:r>
      <w:r>
        <w:t xml:space="preserve"> </w:t>
      </w:r>
      <w:r>
        <w:t xml:space="preserve">In particular, we would like to thank</w:t>
      </w:r>
      <w:r>
        <w:t xml:space="preserve"> </w:t>
      </w:r>
      <w:r>
        <w:t xml:space="preserve">- Pixida GmbH and especially Tobias Hierlmeier for professional support in revising and restructuring the model architecture and code and being valuable help in programming tasks</w:t>
      </w:r>
      <w:r>
        <w:t xml:space="preserve"> </w:t>
      </w:r>
      <w:r>
        <w:t xml:space="preserve">- Thünen Institute Service Centre for Research Data Management and especially Harald von Waldow for providing expertise, consultation and support during the release process</w:t>
      </w:r>
      <w:r>
        <w:t xml:space="preserve"> </w:t>
      </w:r>
      <w:r>
        <w:t xml:space="preserve">- Holger Weimar and Matthias Dieter for the trustful and cooperative working environment, rational support and critical discussion and the opportunity to keep going</w:t>
      </w:r>
      <w:r>
        <w:t xml:space="preserve"> </w:t>
      </w:r>
      <w:r>
        <w:t xml:space="preserve">- Johanna Schliemann for immediate technical support whenever needed</w:t>
      </w:r>
      <w:r>
        <w:t xml:space="preserve"> </w:t>
      </w:r>
      <w:r>
        <w:t xml:space="preserve">- The Thünen Institute of Forestry and its Head Matthias Dieter for providing financial resources over the years</w:t>
      </w:r>
    </w:p>
    <w:bookmarkEnd w:id="23"/>
    <w:bookmarkStart w:id="25" w:name="summary"/>
    <w:p>
      <w:pPr>
        <w:pStyle w:val="Heading2"/>
      </w:pPr>
      <w:r>
        <w:t xml:space="preserve">Summary</w:t>
      </w:r>
    </w:p>
    <w:p>
      <w:pPr>
        <w:pStyle w:val="FirstParagraph"/>
      </w:pPr>
      <w:r>
        <w:t xml:space="preserve">This working paper details the underlying structure of TiMBA as well as the data and parameters used for modelling.</w:t>
      </w:r>
      <w:r>
        <w:t xml:space="preserve"> </w:t>
      </w:r>
      <w:r>
        <w:t xml:space="preserve">TiMBA is a partial economic equilibrium model for the global forest sector. The market equilibrium is subject to</w:t>
      </w:r>
      <w:r>
        <w:t xml:space="preserve"> </w:t>
      </w:r>
      <w:r>
        <w:t xml:space="preserve">market clearance and constraints balancing raw material, product manufacturing, consumption while limiting international</w:t>
      </w:r>
      <w:r>
        <w:t xml:space="preserve"> </w:t>
      </w:r>
      <w:r>
        <w:t xml:space="preserve">trade</w:t>
      </w:r>
      <w:r>
        <w:t xml:space="preserve"> </w:t>
      </w:r>
      <w:r>
        <w:t xml:space="preserve">(</w:t>
      </w:r>
      <w:hyperlink w:anchor="ref-Samuelson:1952">
        <w:r>
          <w:rPr>
            <w:rStyle w:val="Hyperlink"/>
          </w:rPr>
          <w:t xml:space="preserve">Samuelson 1952</w:t>
        </w:r>
      </w:hyperlink>
      <w:r>
        <w:t xml:space="preserve">)</w:t>
      </w:r>
      <w:r>
        <w:t xml:space="preserve">. The model structure distinguishes between raw, intermediate and end products. TiMBA differentiates</w:t>
      </w:r>
      <w:r>
        <w:t xml:space="preserve"> </w:t>
      </w:r>
      <w:r>
        <w:t xml:space="preserve">three types of roundwood (wood fuel, coniferous and non-coniferous industrial roundwood), two additional raw products for</w:t>
      </w:r>
      <w:r>
        <w:t xml:space="preserve"> </w:t>
      </w:r>
      <w:r>
        <w:t xml:space="preserve">paper production (other fibre pulp and waste paper), two intermediate products (mechanical and chemical pulp) and eight finished</w:t>
      </w:r>
      <w:r>
        <w:t xml:space="preserve"> </w:t>
      </w:r>
      <w:r>
        <w:t xml:space="preserve">products (coniferous and non-coniferous sawnwoods, veneer sheets and plywood, particle board, fibreboard, newsprint, printing</w:t>
      </w:r>
      <w:r>
        <w:t xml:space="preserve"> </w:t>
      </w:r>
      <w:r>
        <w:t xml:space="preserve">and writing paper, and other paper and paperboards). Except for sawnwoods, intermediate and end products are produced from a</w:t>
      </w:r>
      <w:r>
        <w:t xml:space="preserve"> </w:t>
      </w:r>
      <w:r>
        <w:t xml:space="preserve">mix of coniferous and non-coniferous industrial roundwood. Scenario simulations with TiMBA are guided by parameters and</w:t>
      </w:r>
      <w:r>
        <w:t xml:space="preserve"> </w:t>
      </w:r>
      <w:r>
        <w:t xml:space="preserve">assumptions on their developments depicting how the forest sector might unfold in the future. Parameters and assumptions are</w:t>
      </w:r>
      <w:r>
        <w:t xml:space="preserve"> </w:t>
      </w:r>
      <w:r>
        <w:t xml:space="preserve">compiled in the model input file.</w:t>
      </w:r>
      <w:r>
        <w:t xml:space="preserve"> </w:t>
      </w:r>
      <w:r>
        <w:t xml:space="preserve">In the model framework, wood products are implicitly treated as perfect substitutes,</w:t>
      </w:r>
      <w:r>
        <w:t xml:space="preserve"> </w:t>
      </w:r>
      <w:r>
        <w:t xml:space="preserve">regardless of their origin, as long as they belong to the same commodity group.</w:t>
      </w:r>
    </w:p>
    <w:p>
      <w:pPr>
        <w:pStyle w:val="BodyText"/>
      </w:pPr>
      <w:r>
        <w:t xml:space="preserve">As the optimization of the market equilibrium in a given year does not include an elasticity of substitution, consumption</w:t>
      </w:r>
      <w:r>
        <w:t xml:space="preserve"> </w:t>
      </w:r>
      <w:r>
        <w:t xml:space="preserve">is merely shifted by changes in income and price (Murray et al. 2004). Thus, changes in gross domestic product (GDP) reflecting</w:t>
      </w:r>
      <w:r>
        <w:t xml:space="preserve"> </w:t>
      </w:r>
      <w:r>
        <w:t xml:space="preserve">national income development is an important driver in the model. Since the consumption of wood-based products is positively</w:t>
      </w:r>
      <w:r>
        <w:t xml:space="preserve"> </w:t>
      </w:r>
      <w:r>
        <w:t xml:space="preserve">correlated to income via a positiv elasticity, an increase in income leads to an increase in demand. The supply of roundwood</w:t>
      </w:r>
      <w:r>
        <w:t xml:space="preserve"> </w:t>
      </w:r>
      <w:r>
        <w:t xml:space="preserve">depends on wood prices and the forest development which in return is determined by the growth dynamics of forest stocks,</w:t>
      </w:r>
      <w:r>
        <w:t xml:space="preserve"> </w:t>
      </w:r>
      <w:r>
        <w:t xml:space="preserve">the change in forest area, and harvest volumes. Forest area development and timber supply is coupled to GDP per capita developments</w:t>
      </w:r>
      <w:r>
        <w:t xml:space="preserve"> </w:t>
      </w:r>
      <w:r>
        <w:t xml:space="preserve">based on the concept of the environmental Kuznets curve</w:t>
      </w:r>
      <w:r>
        <w:t xml:space="preserve"> </w:t>
      </w:r>
      <w:r>
        <w:t xml:space="preserve">(</w:t>
      </w:r>
      <w:hyperlink w:anchor="ref-Panayotou:1993">
        <w:r>
          <w:rPr>
            <w:rStyle w:val="Hyperlink"/>
          </w:rPr>
          <w:t xml:space="preserve">Panayotou 1993</w:t>
        </w:r>
      </w:hyperlink>
      <w:r>
        <w:t xml:space="preserve">)</w:t>
      </w:r>
      <w:r>
        <w:t xml:space="preserve">.</w:t>
      </w:r>
      <w:r>
        <w:t xml:space="preserve"> </w:t>
      </w:r>
      <w:hyperlink r:id="rId24">
        <w:r>
          <w:rPr>
            <w:rStyle w:val="Hyperlink"/>
          </w:rPr>
          <w:t xml:space="preserve">comment</w:t>
        </w:r>
      </w:hyperlink>
      <w:r>
        <w:t xml:space="preserve">:&lt;&gt; (CM: Someone please add reference for Murray 2004)</w:t>
      </w:r>
    </w:p>
    <w:p>
      <w:pPr>
        <w:pStyle w:val="BodyText"/>
      </w:pPr>
      <w:r>
        <w:t xml:space="preserve">For its calculations, TiMBA relies on projections of GDP and population growth from the Shared Socioeconomic Pathways (SSP).</w:t>
      </w:r>
      <w:r>
        <w:t xml:space="preserve"> </w:t>
      </w:r>
      <w:r>
        <w:t xml:space="preserve">In its basic version, TiMBA uses the assumptions made in the SSP2 scenario</w:t>
      </w:r>
      <w:r>
        <w:t xml:space="preserve"> </w:t>
      </w:r>
      <w:r>
        <w:t xml:space="preserve">“Middle of the road”</w:t>
      </w:r>
      <w:r>
        <w:t xml:space="preserve">. This scenario describes</w:t>
      </w:r>
      <w:r>
        <w:t xml:space="preserve"> </w:t>
      </w:r>
      <w:r>
        <w:t xml:space="preserve">a world of modest population growth and where social, economic and technological trends continue similarly to historical</w:t>
      </w:r>
      <w:r>
        <w:t xml:space="preserve"> </w:t>
      </w:r>
      <w:r>
        <w:t xml:space="preserve">patterns</w:t>
      </w:r>
      <w:r>
        <w:t xml:space="preserve"> </w:t>
      </w:r>
      <w:r>
        <w:t xml:space="preserve">(</w:t>
      </w:r>
      <w:hyperlink w:anchor="ref-Riahi:2017">
        <w:r>
          <w:rPr>
            <w:rStyle w:val="Hyperlink"/>
          </w:rPr>
          <w:t xml:space="preserve">Riahi et al. 2017</w:t>
        </w:r>
      </w:hyperlink>
      <w:r>
        <w:t xml:space="preserve">)</w:t>
      </w:r>
      <w:r>
        <w:t xml:space="preserve">. Price and income elasticities of demand are taken from</w:t>
      </w:r>
      <w:r>
        <w:t xml:space="preserve"> </w:t>
      </w:r>
      <w:r>
        <w:t xml:space="preserve">(</w:t>
      </w:r>
      <w:hyperlink w:anchor="ref-Morland:2018">
        <w:r>
          <w:rPr>
            <w:rStyle w:val="Hyperlink"/>
            <w:b/>
            <w:bCs/>
          </w:rPr>
          <w:t xml:space="preserve">Morland:2018?</w:t>
        </w:r>
      </w:hyperlink>
      <w:r>
        <w:t xml:space="preserve">)</w:t>
      </w:r>
      <w:r>
        <w:t xml:space="preserve">.</w:t>
      </w:r>
      <w:r>
        <w:t xml:space="preserve"> </w:t>
      </w:r>
      <w:r>
        <w:t xml:space="preserve">Further exogenous specifications on technology developments (input-output coefficients and manufacturing cost) are estimated</w:t>
      </w:r>
      <w:r>
        <w:t xml:space="preserve"> </w:t>
      </w:r>
      <w:r>
        <w:t xml:space="preserve">based on historical developments from 1993-2020 while information on trade inertia and cost are based on WTO data as provided</w:t>
      </w:r>
      <w:r>
        <w:t xml:space="preserve"> </w:t>
      </w:r>
      <w:r>
        <w:t xml:space="preserve">in the Global Forest Products Model (GFPM) (</w:t>
      </w:r>
      <w:r>
        <w:t xml:space="preserve">(</w:t>
      </w:r>
      <w:hyperlink w:anchor="ref-Buongiorno:2015">
        <w:r>
          <w:rPr>
            <w:rStyle w:val="Hyperlink"/>
          </w:rPr>
          <w:t xml:space="preserve">Buongiorno 2015</w:t>
        </w:r>
      </w:hyperlink>
      <w:r>
        <w:t xml:space="preserve">)</w:t>
      </w:r>
      <w:r>
        <w:t xml:space="preserve">; GFPM version 1-29-2017-World500).</w:t>
      </w:r>
      <w:r>
        <w:t xml:space="preserve"> </w:t>
      </w:r>
      <w:r>
        <w:t xml:space="preserve">The base year for the scenario simulations with the current version of TiMBA is 2020. The input data used for simulation</w:t>
      </w:r>
      <w:r>
        <w:t xml:space="preserve"> </w:t>
      </w:r>
      <w:r>
        <w:t xml:space="preserve">with TiMBA needs to be calibrated and provided in a source file prior to model runs. This file is provided together with</w:t>
      </w:r>
      <w:r>
        <w:t xml:space="preserve"> </w:t>
      </w:r>
      <w:r>
        <w:t xml:space="preserve">the model. The calibration procedure is described in</w:t>
      </w:r>
      <w:r>
        <w:t xml:space="preserve"> </w:t>
      </w:r>
      <w:r>
        <w:t xml:space="preserve">Buongiorno (</w:t>
      </w:r>
      <w:hyperlink w:anchor="ref-Buongiorno:2015">
        <w:r>
          <w:rPr>
            <w:rStyle w:val="Hyperlink"/>
          </w:rPr>
          <w:t xml:space="preserve">2015</w:t>
        </w:r>
      </w:hyperlink>
      <w:r>
        <w:t xml:space="preserve">)</w:t>
      </w:r>
      <w:r>
        <w:t xml:space="preserve"> </w:t>
      </w:r>
      <w:r>
        <w:t xml:space="preserve">and altered according to</w:t>
      </w:r>
      <w:r>
        <w:t xml:space="preserve"> </w:t>
      </w:r>
      <w:r>
        <w:t xml:space="preserve">(</w:t>
      </w:r>
      <w:hyperlink w:anchor="ref-Schier:2018">
        <w:r>
          <w:rPr>
            <w:rStyle w:val="Hyperlink"/>
            <w:b/>
            <w:bCs/>
          </w:rPr>
          <w:t xml:space="preserve">Schier:2018?</w:t>
        </w:r>
      </w:hyperlink>
      <w:r>
        <w:t xml:space="preserve">)</w:t>
      </w:r>
      <w:r>
        <w:t xml:space="preserve">.</w:t>
      </w:r>
      <w:r>
        <w:t xml:space="preserve"> </w:t>
      </w:r>
      <w:r>
        <w:t xml:space="preserve">The input data for calibrating the model are obtained from three global databases: The FAO forestry statistics (FAOSTAT),</w:t>
      </w:r>
      <w:r>
        <w:t xml:space="preserve"> </w:t>
      </w:r>
      <w:r>
        <w:t xml:space="preserve">the FAO Forest Global Resources Assessment (FAO 2020) and the World Bank Development Indicators (World Bank).</w:t>
      </w:r>
      <w:r>
        <w:t xml:space="preserve"> </w:t>
      </w:r>
      <w:hyperlink r:id="rId24">
        <w:r>
          <w:rPr>
            <w:rStyle w:val="Hyperlink"/>
          </w:rPr>
          <w:t xml:space="preserve">comment</w:t>
        </w:r>
      </w:hyperlink>
      <w:r>
        <w:t xml:space="preserve">:&lt;&gt; (CM: Wollen wir die Quellen für FAO und Weltbank hier mit angeben oder machen wir das mit Citavi?)</w:t>
      </w:r>
    </w:p>
    <w:p>
      <w:pPr>
        <w:pStyle w:val="BodyText"/>
      </w:pPr>
      <w:r>
        <w:t xml:space="preserve">The model output comprises information about production, consumption and trade quantities, and prices as well as forest development.</w:t>
      </w:r>
      <w:r>
        <w:t xml:space="preserve"> </w:t>
      </w:r>
      <w:r>
        <w:t xml:space="preserve">The model concept bases on the formal description of GFPM</w:t>
      </w:r>
      <w:r>
        <w:t xml:space="preserve"> </w:t>
      </w:r>
      <w:r>
        <w:t xml:space="preserve">(</w:t>
      </w:r>
      <w:hyperlink w:anchor="ref-Buongiorno:2015">
        <w:r>
          <w:rPr>
            <w:rStyle w:val="Hyperlink"/>
          </w:rPr>
          <w:t xml:space="preserve">Buongiorno 2015</w:t>
        </w:r>
      </w:hyperlink>
      <w:r>
        <w:t xml:space="preserve">;</w:t>
      </w:r>
      <w:r>
        <w:t xml:space="preserve"> </w:t>
      </w:r>
      <w:hyperlink w:anchor="ref-Buongiorno:2003">
        <w:r>
          <w:rPr>
            <w:rStyle w:val="Hyperlink"/>
          </w:rPr>
          <w:t xml:space="preserve">Buongiorno et al. 2003</w:t>
        </w:r>
      </w:hyperlink>
      <w:r>
        <w:t xml:space="preserve">)</w:t>
      </w:r>
      <w:r>
        <w:t xml:space="preserve">.</w:t>
      </w:r>
    </w:p>
    <w:p>
      <w:pPr>
        <w:pStyle w:val="BodyText"/>
      </w:pPr>
      <w:r>
        <w:rPr>
          <w:b/>
          <w:bCs/>
        </w:rPr>
        <w:t xml:space="preserve">Table 1:</w:t>
      </w:r>
      <w:r>
        <w:t xml:space="preserve"> </w:t>
      </w:r>
      <w:r>
        <w:t xml:space="preserve">Model characteristics overview</w:t>
      </w:r>
    </w:p>
    <w:tbl>
      <w:tblPr>
        <w:tblStyle w:val="Table"/>
        <w:tblW w:type="pct" w:w="5000"/>
        <w:tblLayout w:type="fixed"/>
        <w:tblLook w:firstRow="1" w:lastRow="0" w:firstColumn="0" w:lastColumn="0" w:noHBand="0" w:noVBand="0" w:val="0020"/>
      </w:tblPr>
      <w:tblGrid>
        <w:gridCol w:w="3520"/>
        <w:gridCol w:w="4400"/>
      </w:tblGrid>
      <w:tr>
        <w:trPr>
          <w:tblHeader w:val="on"/>
        </w:trPr>
        <w:tc>
          <w:tcPr/>
          <w:p>
            <w:pPr>
              <w:pStyle w:val="Compact"/>
            </w:pPr>
            <w:r>
              <w:t xml:space="preserve">Model type</w:t>
            </w:r>
          </w:p>
        </w:tc>
        <w:tc>
          <w:tcPr/>
          <w:p>
            <w:pPr>
              <w:pStyle w:val="Compact"/>
            </w:pPr>
            <w:r>
              <w:t xml:space="preserve">Dynamic and static equilibrium market model</w:t>
            </w:r>
          </w:p>
        </w:tc>
      </w:tr>
      <w:tr>
        <w:tc>
          <w:tcPr/>
          <w:p>
            <w:pPr>
              <w:pStyle w:val="Compact"/>
            </w:pPr>
            <w:r>
              <w:t xml:space="preserve">Geographical scope</w:t>
            </w:r>
          </w:p>
        </w:tc>
        <w:tc>
          <w:tcPr/>
          <w:p>
            <w:pPr>
              <w:pStyle w:val="Compact"/>
            </w:pPr>
            <w:r>
              <w:t xml:space="preserve">Global (180 countries)</w:t>
            </w:r>
          </w:p>
        </w:tc>
      </w:tr>
      <w:tr>
        <w:tc>
          <w:tcPr/>
          <w:p>
            <w:pPr>
              <w:pStyle w:val="Compact"/>
            </w:pPr>
            <w:r>
              <w:t xml:space="preserve">Temporal Dimension</w:t>
            </w:r>
          </w:p>
        </w:tc>
        <w:tc>
          <w:tcPr/>
          <w:p>
            <w:pPr>
              <w:pStyle w:val="Compact"/>
            </w:pPr>
            <w:r>
              <w:t xml:space="preserve">Recursive long term analyses</w:t>
            </w:r>
          </w:p>
        </w:tc>
      </w:tr>
      <w:tr>
        <w:tc>
          <w:tcPr/>
          <w:p>
            <w:pPr>
              <w:pStyle w:val="Compact"/>
            </w:pPr>
            <w:r>
              <w:t xml:space="preserve">Products</w:t>
            </w:r>
          </w:p>
        </w:tc>
        <w:tc>
          <w:tcPr/>
          <w:p>
            <w:pPr>
              <w:pStyle w:val="Compact"/>
            </w:pPr>
            <w:r>
              <w:t xml:space="preserve">Raw-, intermediate, end products</w:t>
            </w:r>
          </w:p>
        </w:tc>
      </w:tr>
      <w:tr>
        <w:tc>
          <w:tcPr/>
          <w:p>
            <w:pPr>
              <w:pStyle w:val="Compact"/>
            </w:pPr>
            <w:r>
              <w:t xml:space="preserve">Data sources</w:t>
            </w:r>
          </w:p>
        </w:tc>
        <w:tc>
          <w:tcPr/>
          <w:p>
            <w:pPr>
              <w:pStyle w:val="Compact"/>
            </w:pPr>
            <w:r>
              <w:t xml:space="preserve">FAO, FRA, WDI, Comtrade, WTO, IIASA-SSP</w:t>
            </w:r>
          </w:p>
        </w:tc>
      </w:tr>
      <w:tr>
        <w:tc>
          <w:tcPr/>
          <w:p>
            <w:pPr>
              <w:pStyle w:val="Compact"/>
            </w:pPr>
            <w:r>
              <w:t xml:space="preserve">Software Implementation</w:t>
            </w:r>
          </w:p>
        </w:tc>
        <w:tc>
          <w:tcPr/>
          <w:p>
            <w:pPr>
              <w:pStyle w:val="Compact"/>
            </w:pPr>
            <w:r>
              <w:t xml:space="preserve">Python 3.9, 3.12</w:t>
            </w:r>
          </w:p>
        </w:tc>
      </w:tr>
      <w:tr>
        <w:tc>
          <w:tcPr/>
          <w:p>
            <w:pPr>
              <w:pStyle w:val="Compact"/>
            </w:pPr>
            <w:r>
              <w:t xml:space="preserve">Current code version</w:t>
            </w:r>
          </w:p>
        </w:tc>
        <w:tc>
          <w:tcPr/>
          <w:p>
            <w:pPr>
              <w:pStyle w:val="Compact"/>
            </w:pPr>
            <w:r>
              <w:t xml:space="preserve">TiMBA 1.0.1</w:t>
            </w:r>
          </w:p>
        </w:tc>
      </w:tr>
      <w:tr>
        <w:tc>
          <w:tcPr/>
          <w:p>
            <w:pPr>
              <w:pStyle w:val="Compact"/>
            </w:pPr>
            <w:r>
              <w:t xml:space="preserve">Permanent link to code repositiory</w:t>
            </w:r>
          </w:p>
        </w:tc>
        <w:tc>
          <w:tcPr/>
          <w:p>
            <w:pPr>
              <w:pStyle w:val="Compact"/>
            </w:pPr>
            <w:r>
              <w:t xml:space="preserve">https://zenodo.org/records/13842492</w:t>
            </w:r>
          </w:p>
        </w:tc>
      </w:tr>
      <w:tr>
        <w:tc>
          <w:tcPr/>
          <w:p>
            <w:pPr>
              <w:pStyle w:val="Compact"/>
            </w:pPr>
            <w:r>
              <w:t xml:space="preserve">Code License</w:t>
            </w:r>
          </w:p>
        </w:tc>
        <w:tc>
          <w:tcPr/>
          <w:p>
            <w:pPr>
              <w:pStyle w:val="Compact"/>
            </w:pPr>
            <w:r>
              <w:t xml:space="preserve">APGL3</w:t>
            </w:r>
          </w:p>
        </w:tc>
      </w:tr>
      <w:tr>
        <w:tc>
          <w:tcPr/>
          <w:p>
            <w:pPr>
              <w:pStyle w:val="Compact"/>
            </w:pPr>
            <w:r>
              <w:t xml:space="preserve">Code versioning system used</w:t>
            </w:r>
          </w:p>
        </w:tc>
        <w:tc>
          <w:tcPr/>
          <w:p>
            <w:pPr>
              <w:pStyle w:val="Compact"/>
            </w:pPr>
            <w:r>
              <w:t xml:space="preserve">GitHub, Zenodo</w:t>
            </w:r>
          </w:p>
        </w:tc>
      </w:tr>
      <w:tr>
        <w:tc>
          <w:tcPr/>
          <w:p>
            <w:pPr>
              <w:pStyle w:val="Compact"/>
            </w:pPr>
            <w:r>
              <w:t xml:space="preserve">Solver environment and Solver</w:t>
            </w:r>
          </w:p>
        </w:tc>
        <w:tc>
          <w:tcPr/>
          <w:p>
            <w:pPr>
              <w:pStyle w:val="Compact"/>
            </w:pPr>
            <w:r>
              <w:t xml:space="preserve">CVXPY, OSQP</w:t>
            </w:r>
          </w:p>
        </w:tc>
      </w:tr>
    </w:tbl>
    <w:bookmarkEnd w:id="25"/>
    <w:bookmarkStart w:id="29" w:name="introduction"/>
    <w:p>
      <w:pPr>
        <w:pStyle w:val="Heading2"/>
      </w:pPr>
      <w:r>
        <w:t xml:space="preserve">Introduction</w:t>
      </w:r>
    </w:p>
    <w:p>
      <w:pPr>
        <w:pStyle w:val="FirstParagraph"/>
      </w:pPr>
      <w:r>
        <w:t xml:space="preserve">This paper provides an overview over the data and parameters used in the Timber market Model for policy-Based Analsis</w:t>
      </w:r>
      <w:r>
        <w:t xml:space="preserve"> </w:t>
      </w:r>
      <w:r>
        <w:t xml:space="preserve">(TiMBA) and gives an introduction to the model structure and specifications. Further, the results from validating the model</w:t>
      </w:r>
      <w:r>
        <w:t xml:space="preserve"> </w:t>
      </w:r>
      <w:r>
        <w:t xml:space="preserve">performance are presented.</w:t>
      </w:r>
    </w:p>
    <w:p>
      <w:pPr>
        <w:pStyle w:val="BodyText"/>
      </w:pPr>
      <w:r>
        <w:t xml:space="preserve">TiMBA is a multi-periodic partial economic equilibrium model for the global forest sector. The model simulates</w:t>
      </w:r>
      <w:r>
        <w:t xml:space="preserve"> </w:t>
      </w:r>
      <w:r>
        <w:t xml:space="preserve">production, imports, exports, consumption quantities and prices as well as technological and forest development for 16</w:t>
      </w:r>
      <w:r>
        <w:t xml:space="preserve"> </w:t>
      </w:r>
      <w:r>
        <w:t xml:space="preserve">commodities and 180 countries. The prices of wood and wood-based products are endogenous to the model. The market equilibrium</w:t>
      </w:r>
      <w:r>
        <w:t xml:space="preserve"> </w:t>
      </w:r>
      <w:r>
        <w:t xml:space="preserve">is subject to market clearance and constraints balancing necessary raw materials and produced wood products and limiting</w:t>
      </w:r>
      <w:r>
        <w:t xml:space="preserve"> </w:t>
      </w:r>
      <w:r>
        <w:t xml:space="preserve">the trade</w:t>
      </w:r>
      <w:r>
        <w:t xml:space="preserve"> </w:t>
      </w:r>
      <w:r>
        <w:t xml:space="preserve">(</w:t>
      </w:r>
      <w:hyperlink w:anchor="ref-Samuelson:1952">
        <w:r>
          <w:rPr>
            <w:rStyle w:val="Hyperlink"/>
          </w:rPr>
          <w:t xml:space="preserve">Samuelson 1952</w:t>
        </w:r>
      </w:hyperlink>
      <w:r>
        <w:t xml:space="preserve">)</w:t>
      </w:r>
      <w:r>
        <w:t xml:space="preserve">. In the model framework, wood products are implicitly treated as perfect substitutes, regardless</w:t>
      </w:r>
      <w:r>
        <w:t xml:space="preserve"> </w:t>
      </w:r>
      <w:r>
        <w:t xml:space="preserve">of their origin, as long as they belong to the same commodity. As the optimization of the market equilibrium in a given year</w:t>
      </w:r>
      <w:r>
        <w:t xml:space="preserve"> </w:t>
      </w:r>
      <w:r>
        <w:t xml:space="preserve">does not include an elasticity of substitution, demand is merely shifted by changes in income and price (Murray et al. 2004).</w:t>
      </w:r>
    </w:p>
    <w:p>
      <w:pPr>
        <w:pStyle w:val="BodyText"/>
      </w:pPr>
      <w:r>
        <w:t xml:space="preserve">TiMBA distinguishes between raw, intermediate and end products (see figure 1). The model structure currently includes three types of</w:t>
      </w:r>
      <w:r>
        <w:t xml:space="preserve"> </w:t>
      </w:r>
      <w:r>
        <w:t xml:space="preserve">roundwood (wood fuel, coniferous and non-coniferous industrial roundwood), two additional raw products for paper production</w:t>
      </w:r>
      <w:r>
        <w:t xml:space="preserve"> </w:t>
      </w:r>
      <w:r>
        <w:t xml:space="preserve">(other fibre pulp and waste paper), two intermediate products (mechanical and chemical pulp) and eight finished products</w:t>
      </w:r>
      <w:r>
        <w:t xml:space="preserve"> </w:t>
      </w:r>
      <w:r>
        <w:t xml:space="preserve">(coniferous and non-coniferous sawnwoods, veneer sheets and plywood, particle board, fibreboard, newsprint, printing and</w:t>
      </w:r>
      <w:r>
        <w:t xml:space="preserve"> </w:t>
      </w:r>
      <w:r>
        <w:t xml:space="preserve">writing paper, and other paper and paperboards). Commodities and commodity aggregates are determined by the definitions</w:t>
      </w:r>
      <w:r>
        <w:t xml:space="preserve"> </w:t>
      </w:r>
      <w:r>
        <w:t xml:space="preserve">of UNECE (2021). Except for sawnwoods, intermediate and end products are produced from a mix of coniferous and non-coniferous</w:t>
      </w:r>
      <w:r>
        <w:t xml:space="preserve"> </w:t>
      </w:r>
      <w:r>
        <w:t xml:space="preserve">industrial roundwood. Production of intermediate and end products is modelled using Input-Output coefficients determining</w:t>
      </w:r>
      <w:r>
        <w:t xml:space="preserve"> </w:t>
      </w:r>
      <w:r>
        <w:t xml:space="preserve">the level of inputs needed for producing one unit of output. The production level depends on raw material prices, costs of</w:t>
      </w:r>
      <w:r>
        <w:t xml:space="preserve"> </w:t>
      </w:r>
      <w:r>
        <w:t xml:space="preserve">manufacturing as well as commodity prices. While the prices of raw materials and intermediate and end-products are simulated</w:t>
      </w:r>
      <w:r>
        <w:t xml:space="preserve"> </w:t>
      </w:r>
      <w:r>
        <w:t xml:space="preserve">endogenously, cost of manufacturing and transport are given exogenously.</w:t>
      </w:r>
    </w:p>
    <w:p>
      <w:pPr>
        <w:pStyle w:val="BodyText"/>
      </w:pPr>
      <w:r>
        <w:t xml:space="preserve">Consumption of wood-based products is tied to country-specific income (GDP) and price levels via price and income elasticities</w:t>
      </w:r>
      <w:r>
        <w:t xml:space="preserve"> </w:t>
      </w:r>
      <w:r>
        <w:t xml:space="preserve">taken from</w:t>
      </w:r>
      <w:r>
        <w:t xml:space="preserve"> </w:t>
      </w:r>
      <w:r>
        <w:t xml:space="preserve">(</w:t>
      </w:r>
      <w:hyperlink w:anchor="ref-Morland:2018">
        <w:r>
          <w:rPr>
            <w:rStyle w:val="Hyperlink"/>
            <w:b/>
            <w:bCs/>
          </w:rPr>
          <w:t xml:space="preserve">Morland:2018?</w:t>
        </w:r>
      </w:hyperlink>
      <w:r>
        <w:t xml:space="preserve">)</w:t>
      </w:r>
      <w:r>
        <w:t xml:space="preserve">. In TiMBA, demand for wood-based products is positively correlated to income, thus, an</w:t>
      </w:r>
      <w:r>
        <w:t xml:space="preserve"> </w:t>
      </w:r>
      <w:r>
        <w:t xml:space="preserve">increase in income basically leads to an increase in demand while demand decreases with increasing product price.</w:t>
      </w:r>
    </w:p>
    <w:p>
      <w:pPr>
        <w:pStyle w:val="BodyText"/>
      </w:pPr>
      <w:r>
        <w:t xml:space="preserve">The supply of roundwood depends on wood prices and stock volume which in turn is determined by the growth dynamics of</w:t>
      </w:r>
      <w:r>
        <w:t xml:space="preserve"> </w:t>
      </w:r>
      <w:r>
        <w:t xml:space="preserve">forest stock, the change in forest area, and harvest volumes. TiMBA model import from and to one single country to the</w:t>
      </w:r>
      <w:r>
        <w:t xml:space="preserve"> </w:t>
      </w:r>
      <w:r>
        <w:t xml:space="preserve">world. Trade occurs when the price of a product in a certain country exceeds the foreign price plus transport costs or</w:t>
      </w:r>
      <w:r>
        <w:t xml:space="preserve"> </w:t>
      </w:r>
      <w:r>
        <w:t xml:space="preserve">vice versa is lower than the world price. Simultaneously, there is a need for trade due to the scarcity of goods in one</w:t>
      </w:r>
      <w:r>
        <w:t xml:space="preserve"> </w:t>
      </w:r>
      <w:r>
        <w:t xml:space="preserve">country, which leads in an increased demand or, conversely, an increased supply leading to a surplus in another country.</w:t>
      </w:r>
      <w:r>
        <w:t xml:space="preserve"> </w:t>
      </w:r>
      <w:r>
        <w:t xml:space="preserve">This dynamic consequently incentivizes international trade as countries attempt to balance their production and consumption</w:t>
      </w:r>
      <w:r>
        <w:t xml:space="preserve"> </w:t>
      </w:r>
      <w:r>
        <w:t xml:space="preserve">through imports and exports. The difference in production costs and prices between countries further reinforce the need</w:t>
      </w:r>
      <w:r>
        <w:t xml:space="preserve"> </w:t>
      </w:r>
      <w:r>
        <w:t xml:space="preserve">for such trade interactions in order to optimize resource allocation and market equilibrium.</w:t>
      </w:r>
    </w:p>
    <w:p>
      <w:pPr>
        <w:pStyle w:val="BodyText"/>
      </w:pPr>
      <w:r>
        <w:t xml:space="preserve">Scenario simulations with TiMBA are guided by parameters and assumptions shaping future developments. The GDP development</w:t>
      </w:r>
      <w:r>
        <w:t xml:space="preserve"> </w:t>
      </w:r>
      <w:r>
        <w:t xml:space="preserve">indicating national incomes is an important driver of change. In its basic version, TiMBA uses the assumptions made in the</w:t>
      </w:r>
      <w:r>
        <w:t xml:space="preserve"> </w:t>
      </w:r>
      <w:r>
        <w:t xml:space="preserve">“Middle of the road”</w:t>
      </w:r>
      <w:r>
        <w:t xml:space="preserve"> </w:t>
      </w:r>
      <w:r>
        <w:t xml:space="preserve">scenario described in</w:t>
      </w:r>
      <w:r>
        <w:t xml:space="preserve"> </w:t>
      </w:r>
      <w:r>
        <w:t xml:space="preserve">“The Shared Socioeconomic Pathways”</w:t>
      </w:r>
      <w:r>
        <w:t xml:space="preserve"> </w:t>
      </w:r>
      <w:r>
        <w:t xml:space="preserve">(the so called SSP2 scenario) to model</w:t>
      </w:r>
      <w:r>
        <w:t xml:space="preserve"> </w:t>
      </w:r>
      <w:r>
        <w:t xml:space="preserve">future GDP developments and population growth. This scenario describes a world of modest population growth and where</w:t>
      </w:r>
      <w:r>
        <w:t xml:space="preserve"> </w:t>
      </w:r>
      <w:r>
        <w:t xml:space="preserve">social, economic and technological trends continue similarly to historical patterns</w:t>
      </w:r>
      <w:r>
        <w:t xml:space="preserve"> </w:t>
      </w:r>
      <w:r>
        <w:t xml:space="preserve">(</w:t>
      </w:r>
      <w:hyperlink w:anchor="ref-Riahi:2017">
        <w:r>
          <w:rPr>
            <w:rStyle w:val="Hyperlink"/>
          </w:rPr>
          <w:t xml:space="preserve">Riahi et al. 2017</w:t>
        </w:r>
      </w:hyperlink>
      <w:r>
        <w:t xml:space="preserve">)</w:t>
      </w:r>
      <w:r>
        <w:t xml:space="preserve">. Demand is subject</w:t>
      </w:r>
      <w:r>
        <w:t xml:space="preserve"> </w:t>
      </w:r>
      <w:r>
        <w:t xml:space="preserve">to annual changes following the projected GDP growth and endogenous price developments, so that new prices and income levels</w:t>
      </w:r>
      <w:r>
        <w:t xml:space="preserve"> </w:t>
      </w:r>
      <w:r>
        <w:t xml:space="preserve">shift the demand for wood-based products via elasticities at an annual interval. On the supply side, price and volume elasticities</w:t>
      </w:r>
      <w:r>
        <w:t xml:space="preserve"> </w:t>
      </w:r>
      <w:r>
        <w:t xml:space="preserve">shift the wood supply at an annual interval. Forest area development and thus, stock volume and timber supply are coupled</w:t>
      </w:r>
      <w:r>
        <w:t xml:space="preserve"> </w:t>
      </w:r>
      <w:r>
        <w:t xml:space="preserve">to GDP per capita developments based on the concept of the environmental Kuznets curve</w:t>
      </w:r>
      <w:r>
        <w:t xml:space="preserve"> </w:t>
      </w:r>
      <w:r>
        <w:t xml:space="preserve">(</w:t>
      </w:r>
      <w:hyperlink w:anchor="ref-Panayotou:1993">
        <w:r>
          <w:rPr>
            <w:rStyle w:val="Hyperlink"/>
          </w:rPr>
          <w:t xml:space="preserve">Panayotou 1993</w:t>
        </w:r>
      </w:hyperlink>
      <w:r>
        <w:t xml:space="preserve">)</w:t>
      </w:r>
      <w:r>
        <w:t xml:space="preserve">. Information on</w:t>
      </w:r>
      <w:r>
        <w:t xml:space="preserve"> </w:t>
      </w:r>
      <w:r>
        <w:t xml:space="preserve">trade inertia and cost are based on WTO data as provided in the GFPM (</w:t>
      </w:r>
      <w:r>
        <w:t xml:space="preserve">(</w:t>
      </w:r>
      <w:hyperlink w:anchor="ref-Buongiorno:2003">
        <w:r>
          <w:rPr>
            <w:rStyle w:val="Hyperlink"/>
          </w:rPr>
          <w:t xml:space="preserve">Buongiorno et al. 2003</w:t>
        </w:r>
      </w:hyperlink>
      <w:r>
        <w:t xml:space="preserve">)</w:t>
      </w:r>
      <w:r>
        <w:t xml:space="preserve">; GFPM-base2021</w:t>
      </w:r>
      <w:r>
        <w:t xml:space="preserve"> </w:t>
      </w:r>
      <w:r>
        <w:t xml:space="preserve">https://onedrive.live.com/?authkey=%21AEF7RY7oAPlrDPk&amp;id=93BC28B749A1DFB6%2117056&amp;cid=93BC28B749A1DFB6). The base year</w:t>
      </w:r>
      <w:r>
        <w:t xml:space="preserve"> </w:t>
      </w:r>
      <w:r>
        <w:t xml:space="preserve">for the scenario simulations with the current version of TiMBA is 2020. The input data used for simulation with TiMBA</w:t>
      </w:r>
      <w:r>
        <w:t xml:space="preserve"> </w:t>
      </w:r>
      <w:r>
        <w:t xml:space="preserve">needs to be calibrated and provided in a source file prior to model runs. This file is provided together with the model.</w:t>
      </w:r>
      <w:r>
        <w:t xml:space="preserve"> </w:t>
      </w:r>
      <w:r>
        <w:t xml:space="preserve">The calibration procedure is described in</w:t>
      </w:r>
      <w:r>
        <w:t xml:space="preserve"> </w:t>
      </w:r>
      <w:r>
        <w:t xml:space="preserve">(</w:t>
      </w:r>
      <w:hyperlink w:anchor="ref-Buongiorno">
        <w:r>
          <w:rPr>
            <w:rStyle w:val="Hyperlink"/>
            <w:b/>
            <w:bCs/>
          </w:rPr>
          <w:t xml:space="preserve">Buongiorno?</w:t>
        </w:r>
      </w:hyperlink>
      <w:r>
        <w:t xml:space="preserve">)</w:t>
      </w:r>
      <w:r>
        <w:t xml:space="preserve"> </w:t>
      </w:r>
      <w:r>
        <w:t xml:space="preserve">and Zhu:2015 and altered according to</w:t>
      </w:r>
      <w:r>
        <w:t xml:space="preserve"> </w:t>
      </w:r>
      <w:r>
        <w:t xml:space="preserve">(</w:t>
      </w:r>
      <w:hyperlink w:anchor="ref-Schier:2018">
        <w:r>
          <w:rPr>
            <w:rStyle w:val="Hyperlink"/>
            <w:b/>
            <w:bCs/>
          </w:rPr>
          <w:t xml:space="preserve">Schier:2018?</w:t>
        </w:r>
      </w:hyperlink>
      <w:r>
        <w:t xml:space="preserve">)</w:t>
      </w:r>
      <w:r>
        <w:t xml:space="preserve">. The input</w:t>
      </w:r>
      <w:r>
        <w:t xml:space="preserve"> </w:t>
      </w:r>
      <w:r>
        <w:t xml:space="preserve">data for calibrating the model are obtained from three global databases: The FAO forestry statistics (FAOSTAT), the FAO</w:t>
      </w:r>
      <w:r>
        <w:t xml:space="preserve"> </w:t>
      </w:r>
      <w:r>
        <w:t xml:space="preserve">Forest Global Resources Assessment (FAO 2020) and the World Bank Development Indicators (World Bank). The model output</w:t>
      </w:r>
      <w:r>
        <w:t xml:space="preserve"> </w:t>
      </w:r>
      <w:r>
        <w:t xml:space="preserve">comprises information about production, consumption, trade quantities, and prices as well as forest development and</w:t>
      </w:r>
      <w:r>
        <w:t xml:space="preserve"> </w:t>
      </w:r>
      <w:r>
        <w:t xml:space="preserve">technology.</w:t>
      </w:r>
    </w:p>
    <w:p>
      <w:pPr>
        <w:pStyle w:val="BodyText"/>
      </w:pPr>
      <w:r>
        <w:t xml:space="preserve">The model concept bases on the formal description of the GFPM</w:t>
      </w:r>
      <w:r>
        <w:t xml:space="preserve"> </w:t>
      </w:r>
      <w:r>
        <w:t xml:space="preserve">(</w:t>
      </w:r>
      <w:hyperlink w:anchor="ref-Buongiorno:2015">
        <w:r>
          <w:rPr>
            <w:rStyle w:val="Hyperlink"/>
          </w:rPr>
          <w:t xml:space="preserve">Buongiorno 2015</w:t>
        </w:r>
      </w:hyperlink>
      <w:r>
        <w:t xml:space="preserve">;</w:t>
      </w:r>
      <w:r>
        <w:t xml:space="preserve"> </w:t>
      </w:r>
      <w:hyperlink w:anchor="ref-Buongiorno:2003">
        <w:r>
          <w:rPr>
            <w:rStyle w:val="Hyperlink"/>
          </w:rPr>
          <w:t xml:space="preserve">Buongiorno et al. 2003</w:t>
        </w:r>
      </w:hyperlink>
      <w:r>
        <w:t xml:space="preserve">)</w:t>
      </w:r>
      <w:r>
        <w:t xml:space="preserve">.</w:t>
      </w:r>
    </w:p>
    <w:p>
      <w:pPr>
        <w:pStyle w:val="CaptionedFigure"/>
      </w:pPr>
      <w:r>
        <w:drawing>
          <wp:inline>
            <wp:extent cx="5334000" cy="3602544"/>
            <wp:effectExtent b="0" l="0" r="0" t="0"/>
            <wp:docPr descr="Caption for example figure." title="" id="27" name="Picture"/>
            <a:graphic>
              <a:graphicData uri="http://schemas.openxmlformats.org/drawingml/2006/picture">
                <pic:pic>
                  <pic:nvPicPr>
                    <pic:cNvPr descr="..\images\timba_product_transformation.png" id="28" name="Picture"/>
                    <pic:cNvPicPr>
                      <a:picLocks noChangeArrowheads="1" noChangeAspect="1"/>
                    </pic:cNvPicPr>
                  </pic:nvPicPr>
                  <pic:blipFill>
                    <a:blip r:embed="rId26"/>
                    <a:stretch>
                      <a:fillRect/>
                    </a:stretch>
                  </pic:blipFill>
                  <pic:spPr bwMode="auto">
                    <a:xfrm>
                      <a:off x="0" y="0"/>
                      <a:ext cx="5334000" cy="3602544"/>
                    </a:xfrm>
                    <a:prstGeom prst="rect">
                      <a:avLst/>
                    </a:prstGeom>
                    <a:noFill/>
                    <a:ln w="9525">
                      <a:noFill/>
                      <a:headEnd/>
                      <a:tailEnd/>
                    </a:ln>
                  </pic:spPr>
                </pic:pic>
              </a:graphicData>
            </a:graphic>
          </wp:inline>
        </w:drawing>
      </w:r>
    </w:p>
    <w:p>
      <w:pPr>
        <w:pStyle w:val="ImageCaption"/>
      </w:pPr>
      <w:r>
        <w:t xml:space="preserve">Caption for example figure.</w:t>
      </w:r>
    </w:p>
    <w:p>
      <w:pPr>
        <w:pStyle w:val="BodyText"/>
      </w:pPr>
      <w:r>
        <w:rPr>
          <w:b/>
          <w:bCs/>
        </w:rPr>
        <w:t xml:space="preserve">Figure 1:</w:t>
      </w:r>
      <w:r>
        <w:t xml:space="preserve"> </w:t>
      </w:r>
      <w:r>
        <w:t xml:space="preserve">Material flow and product structure in TiMBA. Other fiber pulp and waste paper are solely inputs in the paper sector.</w:t>
      </w:r>
      <w:r>
        <w:t xml:space="preserve"> </w:t>
      </w:r>
      <w:r>
        <w:t xml:space="preserve">Wood residues used as input in the wood-based panel and pulp sectors are not explicitly modeled in TiMBA but implicitly considered</w:t>
      </w:r>
      <w:r>
        <w:t xml:space="preserve"> </w:t>
      </w:r>
      <w:r>
        <w:t xml:space="preserve">by manufacturing coefficients. Double represent the mix of raw materials as input for further processing. Thus, wood-based panels</w:t>
      </w:r>
      <w:r>
        <w:t xml:space="preserve"> </w:t>
      </w:r>
      <w:r>
        <w:t xml:space="preserve">could be made from a single input or a mixture of coniferous and non-coniferous roundwood while paper products could be made from</w:t>
      </w:r>
      <w:r>
        <w:t xml:space="preserve"> </w:t>
      </w:r>
      <w:r>
        <w:t xml:space="preserve">a single input or a mixture of pulp and waste paper. The dotted lines indicate that other industrial roundwood is composite product:</w:t>
      </w:r>
      <w:r>
        <w:t xml:space="preserve"> </w:t>
      </w:r>
      <w:r>
        <w:t xml:space="preserve">While raw data are imported for data calibration, the amounts of coniferous and non-coniferous other industrial roundwood are</w:t>
      </w:r>
      <w:r>
        <w:t xml:space="preserve"> </w:t>
      </w:r>
      <w:r>
        <w:t xml:space="preserve">calculated out from of the total amount of industrial roundwood and summed up as total other industrial roundwood for model simulation.</w:t>
      </w:r>
      <w:r>
        <w:t xml:space="preserve"> </w:t>
      </w:r>
      <w:r>
        <w:t xml:space="preserve">The bold lines indicate, that the product is not further processed before sold as end product.</w:t>
      </w:r>
    </w:p>
    <w:bookmarkEnd w:id="29"/>
    <w:bookmarkStart w:id="35" w:name="model-formulation-and-specifications"/>
    <w:p>
      <w:pPr>
        <w:pStyle w:val="Heading2"/>
      </w:pPr>
      <w:r>
        <w:t xml:space="preserve">Model formulation and specifications</w:t>
      </w:r>
    </w:p>
    <w:p>
      <w:pPr>
        <w:pStyle w:val="FirstParagraph"/>
      </w:pPr>
      <w:r>
        <w:t xml:space="preserve">TiMBA computes periodic production, import, exports and consumption as well as prices for the forest-based sector considering</w:t>
      </w:r>
      <w:r>
        <w:t xml:space="preserve"> </w:t>
      </w:r>
      <w:r>
        <w:t xml:space="preserve">available forest resource endowment as well as cost, technology and trade constraints. The recursive market model is composed of a static</w:t>
      </w:r>
      <w:r>
        <w:t xml:space="preserve"> </w:t>
      </w:r>
      <w:r>
        <w:t xml:space="preserve">and a dynamic phase.</w:t>
      </w:r>
    </w:p>
    <w:p>
      <w:pPr>
        <w:pStyle w:val="BodyText"/>
      </w:pPr>
      <w:r>
        <w:t xml:space="preserve">In the static phase, TiMBA calculates a global equilibrium across products and countries in a given year. The optimization problem</w:t>
      </w:r>
      <w:r>
        <w:t xml:space="preserve"> </w:t>
      </w:r>
      <w:r>
        <w:t xml:space="preserve">is solved for each year by maximizing the economic welfare, defined as the sum of the producer and consumer economic surplus.</w:t>
      </w:r>
    </w:p>
    <w:p>
      <w:pPr>
        <w:pStyle w:val="BodyText"/>
      </w:pPr>
      <w:r>
        <w:t xml:space="preserve">In the dynamic phase, changes in the equilibrium conditions (shifts in parameters determining the model outcome such as growing GDP,</w:t>
      </w:r>
      <w:r>
        <w:t xml:space="preserve"> </w:t>
      </w:r>
      <w:r>
        <w:t xml:space="preserve">population or cost) are updated from one period to the next.</w:t>
      </w:r>
    </w:p>
    <w:p>
      <w:pPr>
        <w:pStyle w:val="BodyText"/>
      </w:pPr>
      <w:r>
        <w:t xml:space="preserve">The model concept bases on the formal description of the GFPM</w:t>
      </w:r>
      <w:r>
        <w:t xml:space="preserve"> </w:t>
      </w:r>
      <w:r>
        <w:t xml:space="preserve">(</w:t>
      </w:r>
      <w:hyperlink w:anchor="ref-Buongiorno:2015">
        <w:r>
          <w:rPr>
            <w:rStyle w:val="Hyperlink"/>
          </w:rPr>
          <w:t xml:space="preserve">Buongiorno 2015</w:t>
        </w:r>
      </w:hyperlink>
      <w:r>
        <w:t xml:space="preserve">;</w:t>
      </w:r>
      <w:r>
        <w:t xml:space="preserve"> </w:t>
      </w:r>
      <w:hyperlink w:anchor="ref-Buongiorno:2003">
        <w:r>
          <w:rPr>
            <w:rStyle w:val="Hyperlink"/>
          </w:rPr>
          <w:t xml:space="preserve">Buongiorno et al. 2003</w:t>
        </w:r>
      </w:hyperlink>
      <w:r>
        <w:t xml:space="preserve">)</w:t>
      </w:r>
      <w:r>
        <w:t xml:space="preserve">.</w:t>
      </w:r>
    </w:p>
    <w:p>
      <w:pPr>
        <w:pStyle w:val="BodyText"/>
      </w:pPr>
      <w:r>
        <w:t xml:space="preserve">The following optimization problem is maximized using the CVXPY package</w:t>
      </w:r>
      <w:r>
        <w:t xml:space="preserve"> </w:t>
      </w:r>
      <w:r>
        <w:t xml:space="preserve">(</w:t>
      </w:r>
      <w:hyperlink w:anchor="ref-Diamond:2016">
        <w:r>
          <w:rPr>
            <w:rStyle w:val="Hyperlink"/>
            <w:b/>
            <w:bCs/>
          </w:rPr>
          <w:t xml:space="preserve">Diamond:2016?</w:t>
        </w:r>
      </w:hyperlink>
      <w:r>
        <w:t xml:space="preserve">;</w:t>
      </w:r>
      <w:r>
        <w:t xml:space="preserve"> </w:t>
      </w:r>
      <w:hyperlink w:anchor="ref-Agrawal:2018">
        <w:r>
          <w:rPr>
            <w:rStyle w:val="Hyperlink"/>
            <w:b/>
            <w:bCs/>
          </w:rPr>
          <w:t xml:space="preserve">Agrawal:2018?</w:t>
        </w:r>
      </w:hyperlink>
      <w:r>
        <w:t xml:space="preserve">)</w:t>
      </w:r>
      <w:r>
        <w:t xml:space="preserve"> </w:t>
      </w:r>
      <w:r>
        <w:t xml:space="preserve">and the OSQP solver</w:t>
      </w:r>
      <w:r>
        <w:t xml:space="preserve"> </w:t>
      </w:r>
      <w:r>
        <w:t xml:space="preserve">(</w:t>
      </w:r>
      <w:hyperlink w:anchor="ref-Stellato:2020">
        <w:r>
          <w:rPr>
            <w:rStyle w:val="Hyperlink"/>
            <w:b/>
            <w:bCs/>
          </w:rPr>
          <w:t xml:space="preserve">Stellato:2020?</w:t>
        </w:r>
      </w:hyperlink>
      <w:r>
        <w:t xml:space="preserve">)</w:t>
      </w:r>
      <w:r>
        <w:t xml:space="preserve">:</w:t>
      </w:r>
    </w:p>
    <w:p>
      <w:pPr>
        <w:pStyle w:val="BodyText"/>
      </w:pPr>
      <m:oMathPara>
        <m:oMathParaPr>
          <m:jc m:val="center"/>
        </m:oMathParaPr>
        <m:oMath>
          <m:limLow>
            <m:e>
              <m:r>
                <m:rPr>
                  <m:sty m:val="p"/>
                </m:rPr>
                <m:t>max</m:t>
              </m:r>
            </m:e>
            <m:lim>
              <m:r>
                <m:t>Z</m:t>
              </m:r>
            </m:lim>
          </m:limLow>
          <m:r>
            <m:rPr>
              <m:sty m:val="p"/>
            </m:rPr>
            <m:t>=</m:t>
          </m:r>
          <m:nary>
            <m:naryPr>
              <m:chr m:val="∑"/>
              <m:limLoc m:val="undOvr"/>
              <m:subHide m:val="off"/>
              <m:supHide m:val="on"/>
            </m:naryPr>
            <m:sub>
              <m:r>
                <m:t>i</m:t>
              </m:r>
            </m:sub>
            <m:sup>
              <m:r>
                <m:t>​</m:t>
              </m:r>
            </m:sup>
            <m:e>
              <m:nary>
                <m:naryPr>
                  <m:chr m:val="∑"/>
                  <m:limLoc m:val="undOvr"/>
                  <m:subHide m:val="off"/>
                  <m:supHide m:val="on"/>
                </m:naryPr>
                <m:sub>
                  <m:r>
                    <m:t>k</m:t>
                  </m:r>
                </m:sub>
                <m:sup>
                  <m:r>
                    <m:t>​</m:t>
                  </m:r>
                </m:sup>
                <m:e>
                  <m:nary>
                    <m:naryPr>
                      <m:chr m:val="∫"/>
                      <m:limLoc m:val="subSup"/>
                      <m:subHide m:val="off"/>
                      <m:supHide m:val="off"/>
                    </m:naryPr>
                    <m:sub>
                      <m:r>
                        <m:t>0</m:t>
                      </m:r>
                    </m:sub>
                    <m:sup>
                      <m:sSub>
                        <m:e>
                          <m:r>
                            <m:t>D</m:t>
                          </m:r>
                        </m:e>
                        <m:sub>
                          <m:r>
                            <m:t>i</m:t>
                          </m:r>
                          <m:r>
                            <m:rPr>
                              <m:sty m:val="p"/>
                            </m:rPr>
                            <m:t>,</m:t>
                          </m:r>
                          <m:r>
                            <m:t>k</m:t>
                          </m:r>
                        </m:sub>
                      </m:sSub>
                    </m:sup>
                    <m:e>
                      <m:sSub>
                        <m:e>
                          <m:r>
                            <m:t>P</m:t>
                          </m:r>
                        </m:e>
                        <m:sub>
                          <m:r>
                            <m:t>i</m:t>
                          </m:r>
                          <m:r>
                            <m:rPr>
                              <m:sty m:val="p"/>
                            </m:rPr>
                            <m:t>,</m:t>
                          </m:r>
                          <m:r>
                            <m:t>k</m:t>
                          </m:r>
                        </m:sub>
                      </m:sSub>
                    </m:e>
                  </m:nary>
                </m:e>
              </m:nary>
            </m:e>
          </m:nary>
          <m:d>
            <m:dPr>
              <m:begChr m:val="("/>
              <m:endChr m:val=")"/>
              <m:sepChr m:val=""/>
              <m:grow/>
            </m:dPr>
            <m:e>
              <m:sSub>
                <m:e>
                  <m:r>
                    <m:t>D</m:t>
                  </m:r>
                </m:e>
                <m:sub>
                  <m:r>
                    <m:t>i</m:t>
                  </m:r>
                  <m:r>
                    <m:rPr>
                      <m:sty m:val="p"/>
                    </m:rPr>
                    <m:t>,</m:t>
                  </m:r>
                  <m:r>
                    <m:t>k</m:t>
                  </m:r>
                </m:sub>
              </m:sSub>
            </m:e>
          </m:d>
          <m:r>
            <m:t>d</m:t>
          </m:r>
          <m:sSub>
            <m:e>
              <m:r>
                <m:t>D</m:t>
              </m:r>
            </m:e>
            <m:sub>
              <m:r>
                <m:t>i</m:t>
              </m:r>
              <m:r>
                <m:rPr>
                  <m:sty m:val="p"/>
                </m:rPr>
                <m:t>,</m:t>
              </m:r>
              <m:r>
                <m:t>k</m:t>
              </m:r>
            </m:sub>
          </m:sSub>
          <m:r>
            <m:rPr>
              <m:sty m:val="p"/>
            </m:rPr>
            <m:t>−</m:t>
          </m:r>
          <m:nary>
            <m:naryPr>
              <m:chr m:val="∑"/>
              <m:limLoc m:val="undOvr"/>
              <m:subHide m:val="off"/>
              <m:supHide m:val="on"/>
            </m:naryPr>
            <m:sub>
              <m:r>
                <m:t>i</m:t>
              </m:r>
            </m:sub>
            <m:sup>
              <m:r>
                <m:t>​</m:t>
              </m:r>
            </m:sup>
            <m:e>
              <m:nary>
                <m:naryPr>
                  <m:chr m:val="∑"/>
                  <m:limLoc m:val="undOvr"/>
                  <m:subHide m:val="off"/>
                  <m:supHide m:val="on"/>
                </m:naryPr>
                <m:sub>
                  <m:r>
                    <m:t>k</m:t>
                  </m:r>
                </m:sub>
                <m:sup>
                  <m:r>
                    <m:t>​</m:t>
                  </m:r>
                </m:sup>
                <m:e>
                  <m:nary>
                    <m:naryPr>
                      <m:chr m:val="∫"/>
                      <m:limLoc m:val="subSup"/>
                      <m:subHide m:val="off"/>
                      <m:supHide m:val="off"/>
                    </m:naryPr>
                    <m:sub>
                      <m:r>
                        <m:t>0</m:t>
                      </m:r>
                    </m:sub>
                    <m:sup>
                      <m:sSub>
                        <m:e>
                          <m:r>
                            <m:t>S</m:t>
                          </m:r>
                        </m:e>
                        <m:sub>
                          <m:r>
                            <m:t>i</m:t>
                          </m:r>
                          <m:r>
                            <m:rPr>
                              <m:sty m:val="p"/>
                            </m:rPr>
                            <m:t>,</m:t>
                          </m:r>
                          <m:r>
                            <m:t>k</m:t>
                          </m:r>
                        </m:sub>
                      </m:sSub>
                    </m:sup>
                    <m:e>
                      <m:sSub>
                        <m:e>
                          <m:r>
                            <m:t>P</m:t>
                          </m:r>
                        </m:e>
                        <m:sub>
                          <m:r>
                            <m:t>i</m:t>
                          </m:r>
                          <m:r>
                            <m:rPr>
                              <m:sty m:val="p"/>
                            </m:rPr>
                            <m:t>,</m:t>
                          </m:r>
                          <m:r>
                            <m:t>k</m:t>
                          </m:r>
                        </m:sub>
                      </m:sSub>
                    </m:e>
                  </m:nary>
                </m:e>
              </m:nary>
            </m:e>
          </m:nary>
          <m:d>
            <m:dPr>
              <m:begChr m:val="("/>
              <m:endChr m:val=")"/>
              <m:sepChr m:val=""/>
              <m:grow/>
            </m:dPr>
            <m:e>
              <m:sSub>
                <m:e>
                  <m:r>
                    <m:t>S</m:t>
                  </m:r>
                </m:e>
                <m:sub>
                  <m:r>
                    <m:t>i</m:t>
                  </m:r>
                  <m:r>
                    <m:rPr>
                      <m:sty m:val="p"/>
                    </m:rPr>
                    <m:t>,</m:t>
                  </m:r>
                  <m:r>
                    <m:t>k</m:t>
                  </m:r>
                </m:sub>
              </m:sSub>
            </m:e>
          </m:d>
          <m:r>
            <m:t>d</m:t>
          </m:r>
          <m:sSub>
            <m:e>
              <m:r>
                <m:t>S</m:t>
              </m:r>
            </m:e>
            <m:sub>
              <m:r>
                <m:t>i</m:t>
              </m:r>
              <m:r>
                <m:rPr>
                  <m:sty m:val="p"/>
                </m:rPr>
                <m:t>,</m:t>
              </m:r>
              <m:r>
                <m:t>k</m:t>
              </m:r>
            </m:sub>
          </m:sSub>
        </m:oMath>
      </m:oMathPara>
    </w:p>
    <w:p>
      <w:pPr>
        <w:pStyle w:val="FirstParagraph"/>
      </w:pPr>
      <m:oMathPara>
        <m:oMathParaPr>
          <m:jc m:val="center"/>
        </m:oMathParaPr>
        <m:oMath>
          <m:r>
            <m:rPr>
              <m:sty m:val="p"/>
            </m:rPr>
            <m:t>−</m:t>
          </m:r>
          <m:nary>
            <m:naryPr>
              <m:chr m:val="∑"/>
              <m:limLoc m:val="undOvr"/>
              <m:subHide m:val="off"/>
              <m:supHide m:val="on"/>
            </m:naryPr>
            <m:sub>
              <m:r>
                <m:t>i</m:t>
              </m:r>
            </m:sub>
            <m:sup>
              <m:r>
                <m:t>​</m:t>
              </m:r>
            </m:sup>
            <m:e>
              <m:nary>
                <m:naryPr>
                  <m:chr m:val="∑"/>
                  <m:limLoc m:val="undOvr"/>
                  <m:subHide m:val="off"/>
                  <m:supHide m:val="on"/>
                </m:naryPr>
                <m:sub>
                  <m:r>
                    <m:t>k</m:t>
                  </m:r>
                </m:sub>
                <m:sup>
                  <m:r>
                    <m:t>​</m:t>
                  </m:r>
                </m:sup>
                <m:e>
                  <m:nary>
                    <m:naryPr>
                      <m:chr m:val="∫"/>
                      <m:limLoc m:val="subSup"/>
                      <m:subHide m:val="off"/>
                      <m:supHide m:val="off"/>
                    </m:naryPr>
                    <m:sub>
                      <m:r>
                        <m:t>0</m:t>
                      </m:r>
                    </m:sub>
                    <m:sup>
                      <m:sSub>
                        <m:e>
                          <m:r>
                            <m:t>Y</m:t>
                          </m:r>
                        </m:e>
                        <m:sub>
                          <m:r>
                            <m:t>i</m:t>
                          </m:r>
                          <m:r>
                            <m:rPr>
                              <m:sty m:val="p"/>
                            </m:rPr>
                            <m:t>,</m:t>
                          </m:r>
                          <m:r>
                            <m:t>k</m:t>
                          </m:r>
                        </m:sub>
                      </m:sSub>
                    </m:sup>
                    <m:e>
                      <m:sSub>
                        <m:e>
                          <m:r>
                            <m:t>m</m:t>
                          </m:r>
                        </m:e>
                        <m:sub>
                          <m:r>
                            <m:t>i</m:t>
                          </m:r>
                          <m:r>
                            <m:rPr>
                              <m:sty m:val="p"/>
                            </m:rPr>
                            <m:t>,</m:t>
                          </m:r>
                          <m:r>
                            <m:t>k</m:t>
                          </m:r>
                        </m:sub>
                      </m:sSub>
                    </m:e>
                  </m:nary>
                </m:e>
              </m:nary>
            </m:e>
          </m:nary>
          <m:d>
            <m:dPr>
              <m:begChr m:val="("/>
              <m:endChr m:val=")"/>
              <m:sepChr m:val=""/>
              <m:grow/>
            </m:dPr>
            <m:e>
              <m:sSub>
                <m:e>
                  <m:r>
                    <m:t>Y</m:t>
                  </m:r>
                </m:e>
                <m:sub>
                  <m:r>
                    <m:t>i</m:t>
                  </m:r>
                  <m:r>
                    <m:rPr>
                      <m:sty m:val="p"/>
                    </m:rPr>
                    <m:t>,</m:t>
                  </m:r>
                  <m:r>
                    <m:t>k</m:t>
                  </m:r>
                </m:sub>
              </m:sSub>
            </m:e>
          </m:d>
          <m:r>
            <m:t>d</m:t>
          </m:r>
          <m:sSub>
            <m:e>
              <m:r>
                <m:t>Y</m:t>
              </m:r>
            </m:e>
            <m:sub>
              <m:r>
                <m:t>i</m:t>
              </m:r>
              <m:r>
                <m:rPr>
                  <m:sty m:val="p"/>
                </m:rPr>
                <m:t>,</m:t>
              </m:r>
              <m:r>
                <m:t>k</m:t>
              </m:r>
            </m:sub>
          </m:sSub>
          <m:r>
            <m:rPr>
              <m:sty m:val="p"/>
            </m:rPr>
            <m:t>−</m:t>
          </m:r>
          <m:nary>
            <m:naryPr>
              <m:chr m:val="∑"/>
              <m:limLoc m:val="undOvr"/>
              <m:subHide m:val="off"/>
              <m:supHide m:val="on"/>
            </m:naryPr>
            <m:sub>
              <m:r>
                <m:t>i</m:t>
              </m:r>
            </m:sub>
            <m:sup>
              <m:r>
                <m:t>​</m:t>
              </m:r>
            </m:sup>
            <m:e>
              <m:nary>
                <m:naryPr>
                  <m:chr m:val="∑"/>
                  <m:limLoc m:val="undOvr"/>
                  <m:subHide m:val="off"/>
                  <m:supHide m:val="on"/>
                </m:naryPr>
                <m:sub>
                  <m:r>
                    <m:t>j</m:t>
                  </m:r>
                </m:sub>
                <m:sup>
                  <m:r>
                    <m:t>​</m:t>
                  </m:r>
                </m:sup>
                <m:e>
                  <m:nary>
                    <m:naryPr>
                      <m:chr m:val="∑"/>
                      <m:limLoc m:val="undOvr"/>
                      <m:subHide m:val="off"/>
                      <m:supHide m:val="on"/>
                    </m:naryPr>
                    <m:sub>
                      <m:r>
                        <m:t>k</m:t>
                      </m:r>
                    </m:sub>
                    <m:sup>
                      <m:r>
                        <m:t>​</m:t>
                      </m:r>
                    </m:sup>
                    <m:e>
                      <m:sSub>
                        <m:e>
                          <m:r>
                            <m:t>c</m:t>
                          </m:r>
                        </m:e>
                        <m:sub>
                          <m:r>
                            <m:t>i</m:t>
                          </m:r>
                          <m:r>
                            <m:rPr>
                              <m:sty m:val="p"/>
                            </m:rPr>
                            <m:t>,</m:t>
                          </m:r>
                          <m:r>
                            <m:t>j</m:t>
                          </m:r>
                          <m:r>
                            <m:rPr>
                              <m:sty m:val="p"/>
                            </m:rPr>
                            <m:t>,</m:t>
                          </m:r>
                          <m:r>
                            <m:t>k</m:t>
                          </m:r>
                        </m:sub>
                      </m:sSub>
                    </m:e>
                  </m:nary>
                </m:e>
              </m:nary>
            </m:e>
          </m:nary>
          <m:sSub>
            <m:e>
              <m:r>
                <m:t>T</m:t>
              </m:r>
            </m:e>
            <m:sub>
              <m:r>
                <m:t>i</m:t>
              </m:r>
              <m:r>
                <m:rPr>
                  <m:sty m:val="p"/>
                </m:rPr>
                <m:t>,</m:t>
              </m:r>
              <m:r>
                <m:t>j</m:t>
              </m:r>
              <m:r>
                <m:rPr>
                  <m:sty m:val="p"/>
                </m:rPr>
                <m:t>,</m:t>
              </m:r>
              <m:r>
                <m:t>k</m:t>
              </m:r>
            </m:sub>
          </m:sSub>
        </m:oMath>
      </m:oMathPara>
    </w:p>
    <w:p>
      <w:pPr>
        <w:pStyle w:val="FirstParagraph"/>
      </w:pPr>
      <w:r>
        <w:t xml:space="preserve">with</w:t>
      </w:r>
      <w:r>
        <w:t xml:space="preserve"> </w:t>
      </w:r>
      <m:oMath>
        <m:r>
          <m:t>P</m:t>
        </m:r>
      </m:oMath>
      <w:r>
        <w:t xml:space="preserve"> </w:t>
      </w:r>
      <w:r>
        <w:t xml:space="preserve">as price,</w:t>
      </w:r>
      <w:r>
        <w:t xml:space="preserve"> </w:t>
      </w:r>
      <m:oMath>
        <m:r>
          <m:t>D</m:t>
        </m:r>
      </m:oMath>
      <w:r>
        <w:t xml:space="preserve"> </w:t>
      </w:r>
      <w:r>
        <w:t xml:space="preserve">as demand,</w:t>
      </w:r>
      <w:r>
        <w:t xml:space="preserve"> </w:t>
      </w:r>
      <m:oMath>
        <m:r>
          <m:t>S</m:t>
        </m:r>
      </m:oMath>
      <w:r>
        <w:t xml:space="preserve"> </w:t>
      </w:r>
      <w:r>
        <w:t xml:space="preserve">as supply,</w:t>
      </w:r>
      <w:r>
        <w:t xml:space="preserve"> </w:t>
      </w:r>
      <m:oMath>
        <m:r>
          <m:t>Y</m:t>
        </m:r>
      </m:oMath>
      <w:r>
        <w:t xml:space="preserve"> </w:t>
      </w:r>
      <w:r>
        <w:t xml:space="preserve">as manufacturing,</w:t>
      </w:r>
      <w:r>
        <w:t xml:space="preserve"> </w:t>
      </w:r>
      <m:oMath>
        <m:r>
          <m:t>m</m:t>
        </m:r>
      </m:oMath>
      <w:r>
        <w:t xml:space="preserve"> </w:t>
      </w:r>
      <w:r>
        <w:t xml:space="preserve">as manufacturing costs,</w:t>
      </w:r>
      <w:r>
        <w:t xml:space="preserve"> </w:t>
      </w:r>
      <m:oMath>
        <m:r>
          <m:t>T</m:t>
        </m:r>
      </m:oMath>
      <w:r>
        <w:t xml:space="preserve"> </w:t>
      </w:r>
      <w:r>
        <w:t xml:space="preserve">as trade,</w:t>
      </w:r>
      <w:r>
        <w:t xml:space="preserve"> </w:t>
      </w:r>
      <m:oMath>
        <m:r>
          <m:t>c</m:t>
        </m:r>
      </m:oMath>
      <w:r>
        <w:t xml:space="preserve"> </w:t>
      </w:r>
      <w:r>
        <w:t xml:space="preserve">as</w:t>
      </w:r>
      <w:r>
        <w:t xml:space="preserve"> </w:t>
      </w:r>
      <w:r>
        <w:t xml:space="preserve">transportation costs and the indices</w:t>
      </w:r>
      <w:r>
        <w:t xml:space="preserve"> </w:t>
      </w:r>
      <m:oMath>
        <m:r>
          <m:t>i</m:t>
        </m:r>
      </m:oMath>
      <w:r>
        <w:t xml:space="preserve"> </w:t>
      </w:r>
      <w:r>
        <w:t xml:space="preserve">as the domestic country,</w:t>
      </w:r>
      <w:r>
        <w:t xml:space="preserve"> </w:t>
      </w:r>
      <m:oMath>
        <m:r>
          <m:t>j</m:t>
        </m:r>
      </m:oMath>
      <w:r>
        <w:t xml:space="preserve"> </w:t>
      </w:r>
      <w:r>
        <w:t xml:space="preserve">as trade partner country and</w:t>
      </w:r>
      <w:r>
        <w:t xml:space="preserve"> </w:t>
      </w:r>
      <m:oMath>
        <m:r>
          <m:t>k</m:t>
        </m:r>
      </m:oMath>
      <w:r>
        <w:t xml:space="preserve"> </w:t>
      </w:r>
      <w:r>
        <w:t xml:space="preserve">as commodity.</w:t>
      </w:r>
    </w:p>
    <w:p>
      <w:pPr>
        <w:pStyle w:val="BodyText"/>
      </w:pPr>
      <w:r>
        <w:t xml:space="preserve">Subject to an optimization constraint balancing all material flows along the represented supply chain for each country</w:t>
      </w:r>
      <w:r>
        <w:t xml:space="preserve"> </w:t>
      </w:r>
      <w:r>
        <w:t xml:space="preserve">while accounting for trade:</w:t>
      </w:r>
    </w:p>
    <w:p>
      <w:pPr>
        <w:pStyle w:val="BodyText"/>
      </w:pPr>
      <m:oMathPara>
        <m:oMathParaPr>
          <m:jc m:val="center"/>
        </m:oMathParaPr>
        <m:oMath>
          <m:sSub>
            <m:e>
              <m:r>
                <m:t>S</m:t>
              </m:r>
            </m:e>
            <m:sub>
              <m:r>
                <m:t>i</m:t>
              </m:r>
              <m:r>
                <m:rPr>
                  <m:sty m:val="p"/>
                </m:rPr>
                <m:t>,</m:t>
              </m:r>
              <m:r>
                <m:t>k</m:t>
              </m:r>
            </m:sub>
          </m:sSub>
          <m:r>
            <m:rPr>
              <m:sty m:val="p"/>
            </m:rPr>
            <m:t>+</m:t>
          </m:r>
          <m:sSub>
            <m:e>
              <m:r>
                <m:t>Y</m:t>
              </m:r>
            </m:e>
            <m:sub>
              <m:r>
                <m:t>i</m:t>
              </m:r>
              <m:r>
                <m:rPr>
                  <m:sty m:val="p"/>
                </m:rPr>
                <m:t>,</m:t>
              </m:r>
              <m:r>
                <m:t>k</m:t>
              </m:r>
            </m:sub>
          </m:sSub>
          <m:r>
            <m:rPr>
              <m:sty m:val="p"/>
            </m:rPr>
            <m:t>+</m:t>
          </m:r>
          <m:nary>
            <m:naryPr>
              <m:chr m:val="∑"/>
              <m:limLoc m:val="undOvr"/>
              <m:subHide m:val="off"/>
              <m:supHide m:val="on"/>
            </m:naryPr>
            <m:sub>
              <m:r>
                <m:t>j</m:t>
              </m:r>
            </m:sub>
            <m:sup>
              <m:r>
                <m:t>​</m:t>
              </m:r>
            </m:sup>
            <m:e>
              <m:sSub>
                <m:e>
                  <m:r>
                    <m:t>I</m:t>
                  </m:r>
                </m:e>
                <m:sub>
                  <m:r>
                    <m:t>j</m:t>
                  </m:r>
                  <m:r>
                    <m:rPr>
                      <m:sty m:val="p"/>
                    </m:rPr>
                    <m:t>,</m:t>
                  </m:r>
                  <m:r>
                    <m:t>k</m:t>
                  </m:r>
                </m:sub>
              </m:sSub>
            </m:e>
          </m:nary>
          <m:r>
            <m:rPr>
              <m:sty m:val="p"/>
            </m:rPr>
            <m:t>=</m:t>
          </m:r>
          <m:sSub>
            <m:e>
              <m:r>
                <m:t>D</m:t>
              </m:r>
            </m:e>
            <m:sub>
              <m:r>
                <m:t>i</m:t>
              </m:r>
              <m:r>
                <m:rPr>
                  <m:sty m:val="p"/>
                </m:rPr>
                <m:t>,</m:t>
              </m:r>
              <m:r>
                <m:t>k</m:t>
              </m:r>
            </m:sub>
          </m:sSub>
          <m:r>
            <m:rPr>
              <m:sty m:val="p"/>
            </m:rPr>
            <m:t>+</m:t>
          </m:r>
          <m:nary>
            <m:naryPr>
              <m:chr m:val="∑"/>
              <m:limLoc m:val="undOvr"/>
              <m:subHide m:val="off"/>
              <m:supHide m:val="on"/>
            </m:naryPr>
            <m:sub>
              <m:r>
                <m:t>n</m:t>
              </m:r>
            </m:sub>
            <m:sup>
              <m:r>
                <m:t>​</m:t>
              </m:r>
            </m:sup>
            <m:e>
              <m:sSub>
                <m:e>
                  <m:r>
                    <m:t>a</m:t>
                  </m:r>
                </m:e>
                <m:sub>
                  <m:r>
                    <m:t>i</m:t>
                  </m:r>
                  <m:r>
                    <m:rPr>
                      <m:sty m:val="p"/>
                    </m:rPr>
                    <m:t>,</m:t>
                  </m:r>
                  <m:r>
                    <m:t>k</m:t>
                  </m:r>
                  <m:r>
                    <m:rPr>
                      <m:sty m:val="p"/>
                    </m:rPr>
                    <m:t>,</m:t>
                  </m:r>
                  <m:r>
                    <m:t>n</m:t>
                  </m:r>
                </m:sub>
              </m:sSub>
            </m:e>
          </m:nary>
          <m:sSub>
            <m:e>
              <m:r>
                <m:t>Y</m:t>
              </m:r>
            </m:e>
            <m:sub>
              <m:r>
                <m:t>i</m:t>
              </m:r>
              <m:r>
                <m:rPr>
                  <m:sty m:val="p"/>
                </m:rPr>
                <m:t>,</m:t>
              </m:r>
              <m:r>
                <m:t>n</m:t>
              </m:r>
            </m:sub>
          </m:sSub>
          <m:r>
            <m:rPr>
              <m:sty m:val="p"/>
            </m:rPr>
            <m:t>+</m:t>
          </m:r>
          <m:nary>
            <m:naryPr>
              <m:chr m:val="∑"/>
              <m:limLoc m:val="undOvr"/>
              <m:subHide m:val="off"/>
              <m:supHide m:val="on"/>
            </m:naryPr>
            <m:sub>
              <m:r>
                <m:t>j</m:t>
              </m:r>
            </m:sub>
            <m:sup>
              <m:r>
                <m:t>​</m:t>
              </m:r>
            </m:sup>
            <m:e>
              <m:sSub>
                <m:e>
                  <m:r>
                    <m:t>X</m:t>
                  </m:r>
                </m:e>
                <m:sub>
                  <m:r>
                    <m:t>j</m:t>
                  </m:r>
                  <m:r>
                    <m:rPr>
                      <m:sty m:val="p"/>
                    </m:rPr>
                    <m:t>,</m:t>
                  </m:r>
                  <m:r>
                    <m:t>k</m:t>
                  </m:r>
                </m:sub>
              </m:sSub>
            </m:e>
          </m:nary>
        </m:oMath>
      </m:oMathPara>
    </w:p>
    <w:p>
      <w:pPr>
        <w:pStyle w:val="FirstParagraph"/>
      </w:pPr>
      <w:r>
        <w:t xml:space="preserve">The equation (tbd) forms for the country (i) and commodity (k) the specific material balance which imposes that the</w:t>
      </w:r>
      <w:r>
        <w:t xml:space="preserve"> </w:t>
      </w:r>
      <w:r>
        <w:t xml:space="preserve">domestic supply of raw materials (</w:t>
      </w:r>
      <m:oMath>
        <m:sSub>
          <m:e>
            <m:r>
              <m:t>S</m:t>
            </m:r>
          </m:e>
          <m:sub>
            <m:r>
              <m:t>i</m:t>
            </m:r>
            <m:r>
              <m:rPr>
                <m:sty m:val="p"/>
              </m:rPr>
              <m:t>,</m:t>
            </m:r>
            <m:r>
              <m:t>k</m:t>
            </m:r>
          </m:sub>
        </m:sSub>
      </m:oMath>
      <w:r>
        <w:t xml:space="preserve">) plus the imports (</w:t>
      </w:r>
      <m:oMath>
        <m:sSub>
          <m:e>
            <m:r>
              <m:t>I</m:t>
            </m:r>
          </m:e>
          <m:sub>
            <m:r>
              <m:t>j</m:t>
            </m:r>
            <m:r>
              <m:rPr>
                <m:sty m:val="p"/>
              </m:rPr>
              <m:t>,</m:t>
            </m:r>
            <m:r>
              <m:t>k</m:t>
            </m:r>
          </m:sub>
        </m:sSub>
      </m:oMath>
      <w:r>
        <w:t xml:space="preserve">) and the manufactured quantity (</w:t>
      </w:r>
      <m:oMath>
        <m:sSub>
          <m:e>
            <m:r>
              <m:t>Y</m:t>
            </m:r>
          </m:e>
          <m:sub>
            <m:r>
              <m:t>i</m:t>
            </m:r>
            <m:r>
              <m:rPr>
                <m:sty m:val="p"/>
              </m:rPr>
              <m:t>,</m:t>
            </m:r>
            <m:r>
              <m:t>k</m:t>
            </m:r>
          </m:sub>
        </m:sSub>
      </m:oMath>
      <w:r>
        <w:t xml:space="preserve">) must</w:t>
      </w:r>
      <w:r>
        <w:t xml:space="preserve"> </w:t>
      </w:r>
      <w:r>
        <w:t xml:space="preserve">be equal to the domestic demand (</w:t>
      </w:r>
      <m:oMath>
        <m:sSub>
          <m:e>
            <m:r>
              <m:t>D</m:t>
            </m:r>
          </m:e>
          <m:sub>
            <m:r>
              <m:t>i</m:t>
            </m:r>
            <m:r>
              <m:rPr>
                <m:sty m:val="p"/>
              </m:rPr>
              <m:t>,</m:t>
            </m:r>
            <m:r>
              <m:t>k</m:t>
            </m:r>
          </m:sub>
        </m:sSub>
      </m:oMath>
      <w:r>
        <w:t xml:space="preserve">) of final products plus the input to manufacture other products (</w:t>
      </w:r>
      <m:oMath>
        <m:sSub>
          <m:e>
            <m:r>
              <m:t>Y</m:t>
            </m:r>
          </m:e>
          <m:sub>
            <m:r>
              <m:t>i</m:t>
            </m:r>
            <m:r>
              <m:rPr>
                <m:sty m:val="p"/>
              </m:rPr>
              <m:t>,</m:t>
            </m:r>
            <m:r>
              <m:t>n</m:t>
            </m:r>
          </m:sub>
        </m:sSub>
      </m:oMath>
      <w:r>
        <w:t xml:space="preserve">)</w:t>
      </w:r>
      <w:r>
        <w:t xml:space="preserve"> </w:t>
      </w:r>
      <w:r>
        <w:t xml:space="preserve">plus the exports (</w:t>
      </w:r>
      <m:oMath>
        <m:sSub>
          <m:e>
            <m:r>
              <m:t>X</m:t>
            </m:r>
          </m:e>
          <m:sub>
            <m:r>
              <m:t>j</m:t>
            </m:r>
            <m:r>
              <m:rPr>
                <m:sty m:val="p"/>
              </m:rPr>
              <m:t>,</m:t>
            </m:r>
            <m:r>
              <m:t>k</m:t>
            </m:r>
          </m:sub>
        </m:sSub>
      </m:oMath>
      <w:r>
        <w:t xml:space="preserve">).</w:t>
      </w:r>
      <w:r>
        <w:t xml:space="preserve"> </w:t>
      </w:r>
      <m:oMath>
        <m:sSub>
          <m:e>
            <m:r>
              <m:t>a</m:t>
            </m:r>
          </m:e>
          <m:sub>
            <m:r>
              <m:t>i</m:t>
            </m:r>
            <m:r>
              <m:rPr>
                <m:sty m:val="p"/>
              </m:rPr>
              <m:t>,</m:t>
            </m:r>
            <m:r>
              <m:t>k</m:t>
            </m:r>
            <m:r>
              <m:rPr>
                <m:sty m:val="p"/>
              </m:rPr>
              <m:t>,</m:t>
            </m:r>
            <m:r>
              <m:t>n</m:t>
            </m:r>
          </m:sub>
        </m:sSub>
      </m:oMath>
      <w:r>
        <w:t xml:space="preserve"> </w:t>
      </w:r>
      <w:r>
        <w:t xml:space="preserve">depicts the amount of input of product</w:t>
      </w:r>
      <w:r>
        <w:t xml:space="preserve"> </w:t>
      </w:r>
      <m:oMath>
        <m:r>
          <m:t>k</m:t>
        </m:r>
      </m:oMath>
      <w:r>
        <w:t xml:space="preserve"> </w:t>
      </w:r>
      <w:r>
        <w:t xml:space="preserve">to produce one unit of product</w:t>
      </w:r>
      <w:r>
        <w:t xml:space="preserve"> </w:t>
      </w:r>
      <m:oMath>
        <m:r>
          <m:t>n</m:t>
        </m:r>
      </m:oMath>
      <w:r>
        <w:t xml:space="preserve">.</w:t>
      </w:r>
      <w:r>
        <w:t xml:space="preserve"> </w:t>
      </w:r>
      <w:r>
        <w:t xml:space="preserve">The dual values of the material balance (shadow prices) are used as product prices in TiMBA.</w:t>
      </w:r>
      <w:r>
        <w:t xml:space="preserve"> </w:t>
      </w:r>
      <w:r>
        <w:t xml:space="preserve">The model is delivered with different material balance options, which allows the user to control the mathematical form how the</w:t>
      </w:r>
      <w:r>
        <w:t xml:space="preserve"> </w:t>
      </w:r>
      <w:r>
        <w:t xml:space="preserve">constraint is integrated into the optimization. The chosen form will influence the computation time of the solver and</w:t>
      </w:r>
      <w:r>
        <w:t xml:space="preserve"> </w:t>
      </w:r>
      <w:r>
        <w:t xml:space="preserve">might impact the resulting shadow prices.</w:t>
      </w:r>
    </w:p>
    <w:bookmarkStart w:id="30" w:name="demand"/>
    <w:p>
      <w:pPr>
        <w:pStyle w:val="Heading3"/>
      </w:pPr>
      <w:r>
        <w:t xml:space="preserve">Demand:</w:t>
      </w:r>
    </w:p>
    <w:p>
      <w:pPr>
        <w:pStyle w:val="FirstParagraph"/>
      </w:pPr>
      <w:r>
        <w:t xml:space="preserve">The demand for wood-based products in TiMBA is correlated to the income (</w:t>
      </w:r>
      <m:oMath>
        <m:r>
          <m:t>y</m:t>
        </m:r>
      </m:oMath>
      <w:r>
        <w:t xml:space="preserve">) and wood prices.</w:t>
      </w:r>
      <w:r>
        <w:t xml:space="preserve"> </w:t>
      </w:r>
      <w:r>
        <w:t xml:space="preserve">The inverted demand function (equation tbd) defines the quantity of demand for end products where</w:t>
      </w:r>
      <w:r>
        <w:t xml:space="preserve"> </w:t>
      </w:r>
      <m:oMath>
        <m:sSup>
          <m:e>
            <m:r>
              <m:t>D</m:t>
            </m:r>
          </m:e>
          <m:sup>
            <m:r>
              <m:rPr>
                <m:sty m:val="p"/>
              </m:rPr>
              <m:t>*</m:t>
            </m:r>
          </m:sup>
        </m:sSup>
      </m:oMath>
      <w:r>
        <w:t xml:space="preserve"> </w:t>
      </w:r>
      <w:r>
        <w:t xml:space="preserve">is the current</w:t>
      </w:r>
      <w:r>
        <w:t xml:space="preserve"> </w:t>
      </w:r>
      <w:r>
        <w:t xml:space="preserve">demand of product</w:t>
      </w:r>
      <w:r>
        <w:t xml:space="preserve"> </w:t>
      </w:r>
      <m:oMath>
        <m:r>
          <m:t>k</m:t>
        </m:r>
      </m:oMath>
      <w:r>
        <w:t xml:space="preserve"> </w:t>
      </w:r>
      <w:r>
        <w:t xml:space="preserve">in country</w:t>
      </w:r>
      <w:r>
        <w:t xml:space="preserve"> </w:t>
      </w:r>
      <m:oMath>
        <m:r>
          <m:t>i</m:t>
        </m:r>
      </m:oMath>
      <w:r>
        <w:t xml:space="preserve"> </w:t>
      </w:r>
      <w:r>
        <w:t xml:space="preserve">at last period’s price,</w:t>
      </w:r>
      <w:r>
        <w:t xml:space="preserve"> </w:t>
      </w:r>
      <m:oMath>
        <m:sSub>
          <m:e>
            <m:r>
              <m:t>P</m:t>
            </m:r>
          </m:e>
          <m:sub>
            <m:r>
              <m:t>i</m:t>
            </m:r>
            <m:r>
              <m:rPr>
                <m:sty m:val="p"/>
              </m:rPr>
              <m:t>,</m:t>
            </m:r>
            <m:r>
              <m:t>k</m:t>
            </m:r>
            <m:r>
              <m:rPr>
                <m:sty m:val="p"/>
              </m:rPr>
              <m:t>,</m:t>
            </m:r>
            <m:r>
              <m:t>t</m:t>
            </m:r>
            <m:r>
              <m:rPr>
                <m:sty m:val="p"/>
              </m:rPr>
              <m:t>−</m:t>
            </m:r>
            <m:r>
              <m:t>1</m:t>
            </m:r>
          </m:sub>
        </m:sSub>
      </m:oMath>
      <w:r>
        <w:t xml:space="preserve"> </w:t>
      </w:r>
      <w:r>
        <w:t xml:space="preserve">is the last period’s price and</w:t>
      </w:r>
      <w:r>
        <w:t xml:space="preserve"> </w:t>
      </w:r>
      <m:oMath>
        <m:r>
          <m:t>δ</m:t>
        </m:r>
      </m:oMath>
      <w:r>
        <w:t xml:space="preserve"> </w:t>
      </w:r>
      <w:r>
        <w:t xml:space="preserve">is</w:t>
      </w:r>
      <w:r>
        <w:t xml:space="preserve"> </w:t>
      </w:r>
      <w:r>
        <w:t xml:space="preserve">the price elasticity of demand.</w:t>
      </w:r>
    </w:p>
    <w:p>
      <w:pPr>
        <w:pStyle w:val="BodyText"/>
      </w:pPr>
      <m:oMathPara>
        <m:oMathParaPr>
          <m:jc m:val="center"/>
        </m:oMathParaPr>
        <m:oMath>
          <m:sSub>
            <m:e>
              <m:r>
                <m:t>P</m:t>
              </m:r>
            </m:e>
            <m:sub>
              <m:r>
                <m:t>i</m:t>
              </m:r>
              <m:r>
                <m:rPr>
                  <m:sty m:val="p"/>
                </m:rPr>
                <m:t>,</m:t>
              </m:r>
              <m:r>
                <m:t>k</m:t>
              </m:r>
            </m:sub>
          </m:sSub>
          <m:d>
            <m:dPr>
              <m:begChr m:val="("/>
              <m:endChr m:val=")"/>
              <m:sepChr m:val=""/>
              <m:grow/>
            </m:dPr>
            <m:e>
              <m:sSub>
                <m:e>
                  <m:r>
                    <m:t>D</m:t>
                  </m:r>
                </m:e>
                <m:sub>
                  <m:r>
                    <m:t>i</m:t>
                  </m:r>
                  <m:r>
                    <m:rPr>
                      <m:sty m:val="p"/>
                    </m:rPr>
                    <m:t>,</m:t>
                  </m:r>
                  <m:r>
                    <m:t>k</m:t>
                  </m:r>
                </m:sub>
              </m:sSub>
            </m:e>
          </m:d>
          <m:r>
            <m:rPr>
              <m:sty m:val="p"/>
            </m:rPr>
            <m:t>=</m:t>
          </m:r>
          <m:sSub>
            <m:e>
              <m:r>
                <m:t>P</m:t>
              </m:r>
            </m:e>
            <m:sub>
              <m:r>
                <m:t>i</m:t>
              </m:r>
              <m:r>
                <m:rPr>
                  <m:sty m:val="p"/>
                </m:rPr>
                <m:t>,</m:t>
              </m:r>
              <m:r>
                <m:t>k</m:t>
              </m:r>
              <m:r>
                <m:rPr>
                  <m:sty m:val="p"/>
                </m:rPr>
                <m:t>,</m:t>
              </m:r>
              <m:r>
                <m:t>t</m:t>
              </m:r>
              <m:r>
                <m:rPr>
                  <m:sty m:val="p"/>
                </m:rPr>
                <m:t>−</m:t>
              </m:r>
              <m:r>
                <m:t>1</m:t>
              </m:r>
            </m:sub>
          </m:sSub>
          <m:sSup>
            <m:e>
              <m:d>
                <m:dPr>
                  <m:begChr m:val="("/>
                  <m:endChr m:val=")"/>
                  <m:sepChr m:val=""/>
                  <m:grow/>
                </m:dPr>
                <m:e>
                  <m:f>
                    <m:fPr>
                      <m:type m:val="bar"/>
                    </m:fPr>
                    <m:num>
                      <m:sSub>
                        <m:e>
                          <m:r>
                            <m:t>D</m:t>
                          </m:r>
                        </m:e>
                        <m:sub>
                          <m:r>
                            <m:t>i</m:t>
                          </m:r>
                          <m:r>
                            <m:rPr>
                              <m:sty m:val="p"/>
                            </m:rPr>
                            <m:t>,</m:t>
                          </m:r>
                          <m:r>
                            <m:t>k</m:t>
                          </m:r>
                        </m:sub>
                      </m:sSub>
                    </m:num>
                    <m:den>
                      <m:sSubSup>
                        <m:e>
                          <m:r>
                            <m:t>D</m:t>
                          </m:r>
                        </m:e>
                        <m:sub>
                          <m:r>
                            <m:t>i</m:t>
                          </m:r>
                          <m:r>
                            <m:rPr>
                              <m:sty m:val="p"/>
                            </m:rPr>
                            <m:t>,</m:t>
                          </m:r>
                          <m:r>
                            <m:t>k</m:t>
                          </m:r>
                        </m:sub>
                        <m:sup>
                          <m:r>
                            <m:rPr>
                              <m:sty m:val="p"/>
                            </m:rPr>
                            <m:t>*</m:t>
                          </m:r>
                        </m:sup>
                      </m:sSubSup>
                    </m:den>
                  </m:f>
                </m:e>
              </m:d>
            </m:e>
            <m:sup>
              <m:r>
                <m:t>1</m:t>
              </m:r>
              <m:r>
                <m:rPr>
                  <m:sty m:val="p"/>
                </m:rPr>
                <m:t>/</m:t>
              </m:r>
              <m:sSub>
                <m:e>
                  <m:r>
                    <m:t>δ</m:t>
                  </m:r>
                </m:e>
                <m:sub>
                  <m:r>
                    <m:t>i</m:t>
                  </m:r>
                  <m:r>
                    <m:rPr>
                      <m:sty m:val="p"/>
                    </m:rPr>
                    <m:t>,</m:t>
                  </m:r>
                  <m:r>
                    <m:t>k</m:t>
                  </m:r>
                </m:sub>
              </m:sSub>
            </m:sup>
          </m:sSup>
        </m:oMath>
      </m:oMathPara>
    </w:p>
    <w:p>
      <w:pPr>
        <w:pStyle w:val="FirstParagraph"/>
      </w:pPr>
      <w:r>
        <w:t xml:space="preserve">The demand can be shifted exogenously over the simulation periods to socioeconomic changes using</w:t>
      </w:r>
      <w:r>
        <w:t xml:space="preserve"> </w:t>
      </w:r>
      <m:oMath>
        <m:sSub>
          <m:e>
            <m:r>
              <m:t>g</m:t>
            </m:r>
          </m:e>
          <m:sub>
            <m:r>
              <m:t>y</m:t>
            </m:r>
          </m:sub>
        </m:sSub>
      </m:oMath>
      <w:r>
        <w:t xml:space="preserve"> </w:t>
      </w:r>
      <w:r>
        <w:t xml:space="preserve">as the growth</w:t>
      </w:r>
      <w:r>
        <w:t xml:space="preserve"> </w:t>
      </w:r>
      <w:r>
        <w:t xml:space="preserve">rate of income,</w:t>
      </w:r>
      <w:r>
        <w:t xml:space="preserve"> </w:t>
      </w:r>
      <m:oMath>
        <m:sSub>
          <m:e>
            <m:r>
              <m:t>g</m:t>
            </m:r>
          </m:e>
          <m:sub>
            <m:r>
              <m:t>D</m:t>
            </m:r>
          </m:sub>
        </m:sSub>
      </m:oMath>
      <w:r>
        <w:t xml:space="preserve"> </w:t>
      </w:r>
      <w:r>
        <w:t xml:space="preserve">as the exogenous growth rate of demand,</w:t>
      </w:r>
      <w:r>
        <w:t xml:space="preserve"> </w:t>
      </w:r>
      <m:oMath>
        <m:r>
          <m:t>α</m:t>
        </m:r>
      </m:oMath>
      <w:r>
        <w:t xml:space="preserve"> </w:t>
      </w:r>
      <w:r>
        <w:t xml:space="preserve">as exogenous parameters to shift the influence of</w:t>
      </w:r>
      <w:r>
        <w:t xml:space="preserve"> </w:t>
      </w:r>
      <w:r>
        <w:t xml:space="preserve">the growth rates and</w:t>
      </w:r>
      <w:r>
        <w:t xml:space="preserve"> </w:t>
      </w:r>
      <m:oMath>
        <m:r>
          <m:t>t</m:t>
        </m:r>
      </m:oMath>
      <w:r>
        <w:t xml:space="preserve"> </w:t>
      </w:r>
      <w:r>
        <w:t xml:space="preserve">as the time index.</w:t>
      </w:r>
    </w:p>
    <w:p>
      <w:pPr>
        <w:pStyle w:val="BodyText"/>
      </w:pPr>
      <m:oMathPara>
        <m:oMathParaPr>
          <m:jc m:val="center"/>
        </m:oMathParaPr>
        <m:oMath>
          <m:sSubSup>
            <m:e>
              <m:r>
                <m:t>D</m:t>
              </m:r>
            </m:e>
            <m:sub>
              <m:r>
                <m:t>i</m:t>
              </m:r>
              <m:r>
                <m:rPr>
                  <m:sty m:val="p"/>
                </m:rPr>
                <m:t>,</m:t>
              </m:r>
              <m:r>
                <m:t>k</m:t>
              </m:r>
            </m:sub>
            <m:sup>
              <m:r>
                <m:rPr>
                  <m:sty m:val="p"/>
                </m:rPr>
                <m:t>*</m:t>
              </m:r>
            </m:sup>
          </m:sSubSup>
          <m:r>
            <m:rPr>
              <m:sty m:val="p"/>
            </m:rPr>
            <m:t>=</m:t>
          </m:r>
          <m:sSub>
            <m:e>
              <m:r>
                <m:t>D</m:t>
              </m:r>
            </m:e>
            <m:sub>
              <m:r>
                <m:t>i</m:t>
              </m:r>
              <m:r>
                <m:rPr>
                  <m:sty m:val="p"/>
                </m:rPr>
                <m:t>,</m:t>
              </m:r>
              <m:r>
                <m:t>k</m:t>
              </m:r>
              <m:r>
                <m:rPr>
                  <m:sty m:val="p"/>
                </m:rPr>
                <m:t>,</m:t>
              </m:r>
              <m:r>
                <m:t>t</m:t>
              </m:r>
              <m:r>
                <m:rPr>
                  <m:sty m:val="p"/>
                </m:rPr>
                <m:t>−</m:t>
              </m:r>
              <m:r>
                <m:t>1</m:t>
              </m:r>
            </m:sub>
          </m:sSub>
          <m:d>
            <m:dPr>
              <m:begChr m:val="("/>
              <m:endChr m:val=")"/>
              <m:sepChr m:val=""/>
              <m:grow/>
            </m:dPr>
            <m:e>
              <m:r>
                <m:t>1</m:t>
              </m:r>
              <m:r>
                <m:rPr>
                  <m:sty m:val="p"/>
                </m:rPr>
                <m:t>+</m:t>
              </m:r>
              <m:sSub>
                <m:e>
                  <m:r>
                    <m:t>α</m:t>
                  </m:r>
                </m:e>
                <m:sub>
                  <m:r>
                    <m:t>y</m:t>
                  </m:r>
                </m:sub>
              </m:sSub>
              <m:sSub>
                <m:e>
                  <m:r>
                    <m:t>g</m:t>
                  </m:r>
                </m:e>
                <m:sub>
                  <m:r>
                    <m:t>y</m:t>
                  </m:r>
                </m:sub>
              </m:sSub>
              <m:r>
                <m:rPr>
                  <m:sty m:val="p"/>
                </m:rPr>
                <m:t>+</m:t>
              </m:r>
              <m:sSub>
                <m:e>
                  <m:r>
                    <m:t>α</m:t>
                  </m:r>
                </m:e>
                <m:sub>
                  <m:r>
                    <m:t>D</m:t>
                  </m:r>
                  <m:r>
                    <m:rPr>
                      <m:sty m:val="p"/>
                    </m:rPr>
                    <m:t>,</m:t>
                  </m:r>
                  <m:r>
                    <m:t>t</m:t>
                  </m:r>
                  <m:r>
                    <m:rPr>
                      <m:sty m:val="p"/>
                    </m:rPr>
                    <m:t>−</m:t>
                  </m:r>
                  <m:r>
                    <m:t>1</m:t>
                  </m:r>
                </m:sub>
              </m:sSub>
              <m:sSub>
                <m:e>
                  <m:r>
                    <m:t>g</m:t>
                  </m:r>
                </m:e>
                <m:sub>
                  <m:r>
                    <m:t>D</m:t>
                  </m:r>
                  <m:r>
                    <m:rPr>
                      <m:sty m:val="p"/>
                    </m:rPr>
                    <m:t>,</m:t>
                  </m:r>
                  <m:r>
                    <m:t>t</m:t>
                  </m:r>
                  <m:r>
                    <m:rPr>
                      <m:sty m:val="p"/>
                    </m:rPr>
                    <m:t>−</m:t>
                  </m:r>
                  <m:r>
                    <m:t>1</m:t>
                  </m:r>
                </m:sub>
              </m:sSub>
              <m:r>
                <m:rPr>
                  <m:sty m:val="p"/>
                </m:rPr>
                <m:t>+</m:t>
              </m:r>
              <m:sSub>
                <m:e>
                  <m:r>
                    <m:t>α</m:t>
                  </m:r>
                </m:e>
                <m:sub>
                  <m:r>
                    <m:t>0</m:t>
                  </m:r>
                </m:sub>
              </m:sSub>
            </m:e>
          </m:d>
        </m:oMath>
      </m:oMathPara>
    </w:p>
    <w:bookmarkEnd w:id="30"/>
    <w:bookmarkStart w:id="31" w:name="supply"/>
    <w:p>
      <w:pPr>
        <w:pStyle w:val="Heading3"/>
      </w:pPr>
      <w:r>
        <w:t xml:space="preserve">Supply:</w:t>
      </w:r>
    </w:p>
    <w:p>
      <w:pPr>
        <w:pStyle w:val="FirstParagraph"/>
      </w:pPr>
      <w:r>
        <w:t xml:space="preserve">The supply of roundwood depends on wood prices and forest development which in turn is determined by the growth dynamics</w:t>
      </w:r>
      <w:r>
        <w:t xml:space="preserve"> </w:t>
      </w:r>
      <w:r>
        <w:t xml:space="preserve">of forest stock, the change in forest area, and harvest volumes. The inverted supply function defines the quantity of supply for</w:t>
      </w:r>
      <w:r>
        <w:t xml:space="preserve"> </w:t>
      </w:r>
      <w:r>
        <w:t xml:space="preserve">raw products (equation tbd) where</w:t>
      </w:r>
      <w:r>
        <w:t xml:space="preserve"> </w:t>
      </w:r>
      <m:oMath>
        <m:sSup>
          <m:e>
            <m:r>
              <m:t>S</m:t>
            </m:r>
          </m:e>
          <m:sup>
            <m:r>
              <m:rPr>
                <m:sty m:val="p"/>
              </m:rPr>
              <m:t>*</m:t>
            </m:r>
          </m:sup>
        </m:sSup>
      </m:oMath>
      <w:r>
        <w:t xml:space="preserve"> </w:t>
      </w:r>
      <w:r>
        <w:t xml:space="preserve">is the current supply of product</w:t>
      </w:r>
      <w:r>
        <w:t xml:space="preserve"> </w:t>
      </w:r>
      <m:oMath>
        <m:r>
          <m:t>k</m:t>
        </m:r>
      </m:oMath>
      <w:r>
        <w:t xml:space="preserve"> </w:t>
      </w:r>
      <w:r>
        <w:t xml:space="preserve">in country</w:t>
      </w:r>
      <w:r>
        <w:t xml:space="preserve"> </w:t>
      </w:r>
      <m:oMath>
        <m:r>
          <m:t>i</m:t>
        </m:r>
      </m:oMath>
      <w:r>
        <w:t xml:space="preserve"> </w:t>
      </w:r>
      <w:r>
        <w:t xml:space="preserve">at the last period’s</w:t>
      </w:r>
      <w:r>
        <w:t xml:space="preserve"> </w:t>
      </w:r>
      <w:r>
        <w:t xml:space="preserve">price and</w:t>
      </w:r>
      <w:r>
        <w:t xml:space="preserve"> </w:t>
      </w:r>
      <m:oMath>
        <m:r>
          <m:t>λ</m:t>
        </m:r>
      </m:oMath>
      <w:r>
        <w:t xml:space="preserve"> </w:t>
      </w:r>
      <w:r>
        <w:t xml:space="preserve">is supply price elasticity. Further details on the connection between the supply and the forest</w:t>
      </w:r>
      <w:r>
        <w:t xml:space="preserve"> </w:t>
      </w:r>
      <w:r>
        <w:t xml:space="preserve">stock and area dynamics are provided in the chapter on modelling</w:t>
      </w:r>
      <w:r>
        <w:t xml:space="preserve"> </w:t>
      </w:r>
      <w:hyperlink w:anchor="Forest">
        <w:r>
          <w:rPr>
            <w:rStyle w:val="Hyperlink"/>
          </w:rPr>
          <w:t xml:space="preserve">Forest</w:t>
        </w:r>
      </w:hyperlink>
      <w:r>
        <w:t xml:space="preserve">.</w:t>
      </w:r>
    </w:p>
    <w:p>
      <w:pPr>
        <w:pStyle w:val="BodyText"/>
      </w:pPr>
      <m:oMathPara>
        <m:oMathParaPr>
          <m:jc m:val="center"/>
        </m:oMathParaPr>
        <m:oMath>
          <m:sSub>
            <m:e>
              <m:r>
                <m:t>P</m:t>
              </m:r>
            </m:e>
            <m:sub>
              <m:r>
                <m:t>i</m:t>
              </m:r>
              <m:r>
                <m:rPr>
                  <m:sty m:val="p"/>
                </m:rPr>
                <m:t>,</m:t>
              </m:r>
              <m:r>
                <m:t>k</m:t>
              </m:r>
            </m:sub>
          </m:sSub>
          <m:d>
            <m:dPr>
              <m:begChr m:val="("/>
              <m:endChr m:val=")"/>
              <m:sepChr m:val=""/>
              <m:grow/>
            </m:dPr>
            <m:e>
              <m:sSub>
                <m:e>
                  <m:r>
                    <m:t>S</m:t>
                  </m:r>
                </m:e>
                <m:sub>
                  <m:r>
                    <m:t>i</m:t>
                  </m:r>
                  <m:r>
                    <m:rPr>
                      <m:sty m:val="p"/>
                    </m:rPr>
                    <m:t>,</m:t>
                  </m:r>
                  <m:r>
                    <m:t>k</m:t>
                  </m:r>
                </m:sub>
              </m:sSub>
            </m:e>
          </m:d>
          <m:r>
            <m:rPr>
              <m:sty m:val="p"/>
            </m:rPr>
            <m:t>=</m:t>
          </m:r>
          <m:sSub>
            <m:e>
              <m:r>
                <m:t>P</m:t>
              </m:r>
            </m:e>
            <m:sub>
              <m:r>
                <m:t>i</m:t>
              </m:r>
              <m:r>
                <m:rPr>
                  <m:sty m:val="p"/>
                </m:rPr>
                <m:t>,</m:t>
              </m:r>
              <m:r>
                <m:t>k</m:t>
              </m:r>
              <m:r>
                <m:rPr>
                  <m:sty m:val="p"/>
                </m:rPr>
                <m:t>,</m:t>
              </m:r>
              <m:r>
                <m:t>t</m:t>
              </m:r>
              <m:r>
                <m:rPr>
                  <m:sty m:val="p"/>
                </m:rPr>
                <m:t>−</m:t>
              </m:r>
              <m:r>
                <m:t>1</m:t>
              </m:r>
            </m:sub>
          </m:sSub>
          <m:sSup>
            <m:e>
              <m:d>
                <m:dPr>
                  <m:begChr m:val="("/>
                  <m:endChr m:val=")"/>
                  <m:sepChr m:val=""/>
                  <m:grow/>
                </m:dPr>
                <m:e>
                  <m:f>
                    <m:fPr>
                      <m:type m:val="bar"/>
                    </m:fPr>
                    <m:num>
                      <m:sSub>
                        <m:e>
                          <m:r>
                            <m:t>S</m:t>
                          </m:r>
                        </m:e>
                        <m:sub>
                          <m:r>
                            <m:t>i</m:t>
                          </m:r>
                          <m:r>
                            <m:rPr>
                              <m:sty m:val="p"/>
                            </m:rPr>
                            <m:t>,</m:t>
                          </m:r>
                          <m:r>
                            <m:t>k</m:t>
                          </m:r>
                        </m:sub>
                      </m:sSub>
                    </m:num>
                    <m:den>
                      <m:sSubSup>
                        <m:e>
                          <m:r>
                            <m:t>S</m:t>
                          </m:r>
                        </m:e>
                        <m:sub>
                          <m:r>
                            <m:t>i</m:t>
                          </m:r>
                          <m:r>
                            <m:rPr>
                              <m:sty m:val="p"/>
                            </m:rPr>
                            <m:t>,</m:t>
                          </m:r>
                          <m:r>
                            <m:t>j</m:t>
                          </m:r>
                        </m:sub>
                        <m:sup>
                          <m:r>
                            <m:rPr>
                              <m:sty m:val="p"/>
                            </m:rPr>
                            <m:t>*</m:t>
                          </m:r>
                        </m:sup>
                      </m:sSubSup>
                    </m:den>
                  </m:f>
                </m:e>
              </m:d>
            </m:e>
            <m:sup>
              <m:r>
                <m:t>1</m:t>
              </m:r>
              <m:r>
                <m:rPr>
                  <m:sty m:val="p"/>
                </m:rPr>
                <m:t>/</m:t>
              </m:r>
              <m:sSub>
                <m:e>
                  <m:r>
                    <m:t>λ</m:t>
                  </m:r>
                </m:e>
                <m:sub>
                  <m:r>
                    <m:t>i</m:t>
                  </m:r>
                  <m:r>
                    <m:rPr>
                      <m:sty m:val="p"/>
                    </m:rPr>
                    <m:t>,</m:t>
                  </m:r>
                  <m:r>
                    <m:t>k</m:t>
                  </m:r>
                </m:sub>
              </m:sSub>
            </m:sup>
          </m:sSup>
        </m:oMath>
      </m:oMathPara>
    </w:p>
    <w:p>
      <w:pPr>
        <w:pStyle w:val="FirstParagraph"/>
      </w:pPr>
      <w:r>
        <w:t xml:space="preserve">To reflect socioeconomic and environmental changes, the supply function can be shifted exogenously over the simulation</w:t>
      </w:r>
      <w:r>
        <w:t xml:space="preserve"> </w:t>
      </w:r>
      <w:r>
        <w:t xml:space="preserve">periods according to equation tbd. In the following equation,</w:t>
      </w:r>
      <w:r>
        <w:t xml:space="preserve"> </w:t>
      </w:r>
      <m:oMath>
        <m:sSub>
          <m:e>
            <m:r>
              <m:t>g</m:t>
            </m:r>
          </m:e>
          <m:sub>
            <m:r>
              <m:t>y</m:t>
            </m:r>
          </m:sub>
        </m:sSub>
      </m:oMath>
      <w:r>
        <w:t xml:space="preserve"> </w:t>
      </w:r>
      <w:r>
        <w:t xml:space="preserve">represents the income growth rate and</w:t>
      </w:r>
      <w:r>
        <w:t xml:space="preserve"> </w:t>
      </w:r>
      <m:oMath>
        <m:sSub>
          <m:e>
            <m:r>
              <m:t>g</m:t>
            </m:r>
          </m:e>
          <m:sub>
            <m:r>
              <m:t>I</m:t>
            </m:r>
          </m:sub>
        </m:sSub>
      </m:oMath>
      <w:r>
        <w:t xml:space="preserve"> </w:t>
      </w:r>
      <w:r>
        <w:t xml:space="preserve">depicts</w:t>
      </w:r>
      <w:r>
        <w:t xml:space="preserve"> </w:t>
      </w:r>
      <w:r>
        <w:t xml:space="preserve">the growth rate of forest inventory.</w:t>
      </w:r>
      <w:r>
        <w:t xml:space="preserve"> </w:t>
      </w:r>
      <m:oMath>
        <m:sSub>
          <m:e>
            <m:r>
              <m:t>β</m:t>
            </m:r>
          </m:e>
          <m:sub>
            <m:r>
              <m:t>y</m:t>
            </m:r>
          </m:sub>
        </m:sSub>
      </m:oMath>
      <w:r>
        <w:t xml:space="preserve"> </w:t>
      </w:r>
      <w:r>
        <w:t xml:space="preserve">is the supply elasticity of income and</w:t>
      </w:r>
      <w:r>
        <w:t xml:space="preserve"> </w:t>
      </w:r>
      <m:oMath>
        <m:sSub>
          <m:e>
            <m:r>
              <m:t>β</m:t>
            </m:r>
          </m:e>
          <m:sub>
            <m:r>
              <m:t>I</m:t>
            </m:r>
          </m:sub>
        </m:sSub>
      </m:oMath>
      <w:r>
        <w:t xml:space="preserve"> </w:t>
      </w:r>
      <w:r>
        <w:t xml:space="preserve">is supply elasticity</w:t>
      </w:r>
      <w:r>
        <w:t xml:space="preserve"> </w:t>
      </w:r>
      <w:r>
        <w:t xml:space="preserve">relative to the inventory. In TiMBA, the supply elasticity of income is product-specific, differentiating between raw</w:t>
      </w:r>
      <w:r>
        <w:t xml:space="preserve"> </w:t>
      </w:r>
      <w:r>
        <w:t xml:space="preserve">materials sourced from the forest and raw materials for paper and paper product production.</w:t>
      </w:r>
    </w:p>
    <w:p>
      <w:pPr>
        <w:pStyle w:val="BodyText"/>
      </w:pPr>
      <m:oMathPara>
        <m:oMathParaPr>
          <m:jc m:val="center"/>
        </m:oMathParaPr>
        <m:oMath>
          <m:sSubSup>
            <m:e>
              <m:r>
                <m:t>S</m:t>
              </m:r>
            </m:e>
            <m:sub>
              <m:r>
                <m:t>i</m:t>
              </m:r>
              <m:r>
                <m:rPr>
                  <m:sty m:val="p"/>
                </m:rPr>
                <m:t>,</m:t>
              </m:r>
              <m:r>
                <m:t>k</m:t>
              </m:r>
            </m:sub>
            <m:sup>
              <m:r>
                <m:rPr>
                  <m:sty m:val="p"/>
                </m:rPr>
                <m:t>*</m:t>
              </m:r>
            </m:sup>
          </m:sSubSup>
          <m:r>
            <m:rPr>
              <m:sty m:val="p"/>
            </m:rPr>
            <m:t>=</m:t>
          </m:r>
          <m:sSub>
            <m:e>
              <m:r>
                <m:t>S</m:t>
              </m:r>
            </m:e>
            <m:sub>
              <m:r>
                <m:t>i</m:t>
              </m:r>
              <m:r>
                <m:rPr>
                  <m:sty m:val="p"/>
                </m:rPr>
                <m:t>,</m:t>
              </m:r>
              <m:r>
                <m:t>k</m:t>
              </m:r>
              <m:r>
                <m:rPr>
                  <m:sty m:val="p"/>
                </m:rPr>
                <m:t>,</m:t>
              </m:r>
              <m:r>
                <m:t>t</m:t>
              </m:r>
              <m:r>
                <m:rPr>
                  <m:sty m:val="p"/>
                </m:rPr>
                <m:t>−</m:t>
              </m:r>
              <m:r>
                <m:t>1</m:t>
              </m:r>
            </m:sub>
          </m:sSub>
          <m:d>
            <m:dPr>
              <m:begChr m:val="("/>
              <m:endChr m:val=")"/>
              <m:sepChr m:val=""/>
              <m:grow/>
            </m:dPr>
            <m:e>
              <m:r>
                <m:t>1</m:t>
              </m:r>
              <m:r>
                <m:rPr>
                  <m:sty m:val="p"/>
                </m:rPr>
                <m:t>+</m:t>
              </m:r>
              <m:sSub>
                <m:e>
                  <m:r>
                    <m:t>β</m:t>
                  </m:r>
                </m:e>
                <m:sub>
                  <m:r>
                    <m:t>y</m:t>
                  </m:r>
                </m:sub>
              </m:sSub>
              <m:sSub>
                <m:e>
                  <m:r>
                    <m:t>g</m:t>
                  </m:r>
                </m:e>
                <m:sub>
                  <m:r>
                    <m:t>y</m:t>
                  </m:r>
                </m:sub>
              </m:sSub>
              <m:r>
                <m:rPr>
                  <m:sty m:val="p"/>
                </m:rPr>
                <m:t>+</m:t>
              </m:r>
              <m:sSub>
                <m:e>
                  <m:r>
                    <m:t>β</m:t>
                  </m:r>
                </m:e>
                <m:sub>
                  <m:r>
                    <m:t>I</m:t>
                  </m:r>
                </m:sub>
              </m:sSub>
              <m:sSub>
                <m:e>
                  <m:r>
                    <m:t>g</m:t>
                  </m:r>
                </m:e>
                <m:sub>
                  <m:r>
                    <m:t>I</m:t>
                  </m:r>
                </m:sub>
              </m:sSub>
            </m:e>
          </m:d>
        </m:oMath>
      </m:oMathPara>
    </w:p>
    <w:p>
      <w:pPr>
        <w:pStyle w:val="FirstParagraph"/>
      </w:pPr>
      <w:r>
        <w:t xml:space="preserve">Forest area development and thus, timber supply is coupled to GDP per capita developments based on the concept of the environmental</w:t>
      </w:r>
      <w:r>
        <w:t xml:space="preserve"> </w:t>
      </w:r>
      <w:r>
        <w:t xml:space="preserve">Kuznets curve (</w:t>
      </w:r>
      <w:r>
        <w:t xml:space="preserve">(</w:t>
      </w:r>
      <w:hyperlink w:anchor="ref-Panayotou">
        <w:r>
          <w:rPr>
            <w:rStyle w:val="Hyperlink"/>
            <w:b/>
            <w:bCs/>
          </w:rPr>
          <w:t xml:space="preserve">Panayotou?</w:t>
        </w:r>
      </w:hyperlink>
      <w:r>
        <w:t xml:space="preserve"> 2004)</w:t>
      </w:r>
      <w:r>
        <w:t xml:space="preserve">). See the section</w:t>
      </w:r>
      <w:r>
        <w:t xml:space="preserve"> </w:t>
      </w:r>
      <w:r>
        <w:t xml:space="preserve">‘Forest’</w:t>
      </w:r>
      <w:r>
        <w:t xml:space="preserve"> </w:t>
      </w:r>
      <w:r>
        <w:t xml:space="preserve">for a more detailed description.</w:t>
      </w:r>
    </w:p>
    <w:bookmarkEnd w:id="31"/>
    <w:bookmarkStart w:id="32" w:name="manufacturing"/>
    <w:p>
      <w:pPr>
        <w:pStyle w:val="Heading3"/>
      </w:pPr>
      <w:r>
        <w:t xml:space="preserve">Manufacturing:</w:t>
      </w:r>
    </w:p>
    <w:p>
      <w:pPr>
        <w:pStyle w:val="FirstParagraph"/>
      </w:pPr>
      <w:r>
        <w:t xml:space="preserve">Manufacturing of intermediate and end products is determined using country- and product-specific input-output</w:t>
      </w:r>
      <w:r>
        <w:t xml:space="preserve"> </w:t>
      </w:r>
      <w:r>
        <w:t xml:space="preserve">coefficients and manufacturing unit costs. The product and country-specific manufacturing costs are calculated</w:t>
      </w:r>
      <w:r>
        <w:t xml:space="preserve"> </w:t>
      </w:r>
      <w:r>
        <w:t xml:space="preserve">based on the manufactured quantity according to equation (tbd) where</w:t>
      </w:r>
      <w:r>
        <w:t xml:space="preserve"> </w:t>
      </w:r>
      <m:oMath>
        <m:sSub>
          <m:e>
            <m:r>
              <m:t>m</m:t>
            </m:r>
          </m:e>
          <m:sub>
            <m:r>
              <m:t>i</m:t>
            </m:r>
            <m:r>
              <m:rPr>
                <m:sty m:val="p"/>
              </m:rPr>
              <m:t>,</m:t>
            </m:r>
            <m:r>
              <m:t>k</m:t>
            </m:r>
          </m:sub>
        </m:sSub>
      </m:oMath>
      <w:r>
        <w:t xml:space="preserve"> </w:t>
      </w:r>
      <w:r>
        <w:t xml:space="preserve">are the manufacturing cost,</w:t>
      </w:r>
      <w:r>
        <w:t xml:space="preserve"> </w:t>
      </w:r>
      <m:oMath>
        <m:sSup>
          <m:e>
            <m:r>
              <m:t>m</m:t>
            </m:r>
          </m:e>
          <m:sup>
            <m:r>
              <m:rPr>
                <m:sty m:val="p"/>
              </m:rPr>
              <m:t>*</m:t>
            </m:r>
          </m:sup>
        </m:sSup>
      </m:oMath>
      <w:r>
        <w:t xml:space="preserve"> </w:t>
      </w:r>
      <w:r>
        <w:t xml:space="preserve">the current manufacturing cost at the last period’s manufactured quantity, and</w:t>
      </w:r>
      <w:r>
        <w:t xml:space="preserve"> </w:t>
      </w:r>
      <m:oMath>
        <m:r>
          <m:t>ζ</m:t>
        </m:r>
      </m:oMath>
      <w:r>
        <w:t xml:space="preserve"> </w:t>
      </w:r>
      <w:r>
        <w:t xml:space="preserve">is the elasticity of</w:t>
      </w:r>
      <w:r>
        <w:t xml:space="preserve"> </w:t>
      </w:r>
      <w:r>
        <w:t xml:space="preserve">manufacturing cost with respect to the manufactured quantity.</w:t>
      </w:r>
    </w:p>
    <w:p>
      <w:pPr>
        <w:pStyle w:val="BodyText"/>
      </w:pPr>
      <m:oMathPara>
        <m:oMathParaPr>
          <m:jc m:val="center"/>
        </m:oMathParaPr>
        <m:oMath>
          <m:sSub>
            <m:e>
              <m:r>
                <m:t>m</m:t>
              </m:r>
            </m:e>
            <m:sub>
              <m:r>
                <m:t>i</m:t>
              </m:r>
              <m:r>
                <m:rPr>
                  <m:sty m:val="p"/>
                </m:rPr>
                <m:t>,</m:t>
              </m:r>
              <m:r>
                <m:t>k</m:t>
              </m:r>
            </m:sub>
          </m:sSub>
          <m:d>
            <m:dPr>
              <m:begChr m:val="("/>
              <m:endChr m:val=")"/>
              <m:sepChr m:val=""/>
              <m:grow/>
            </m:dPr>
            <m:e>
              <m:sSub>
                <m:e>
                  <m:r>
                    <m:t>Y</m:t>
                  </m:r>
                </m:e>
                <m:sub>
                  <m:r>
                    <m:t>i</m:t>
                  </m:r>
                  <m:r>
                    <m:rPr>
                      <m:sty m:val="p"/>
                    </m:rPr>
                    <m:t>,</m:t>
                  </m:r>
                  <m:r>
                    <m:t>k</m:t>
                  </m:r>
                </m:sub>
              </m:sSub>
            </m:e>
          </m:d>
          <m:r>
            <m:rPr>
              <m:sty m:val="p"/>
            </m:rPr>
            <m:t>=</m:t>
          </m:r>
          <m:sSubSup>
            <m:e>
              <m:r>
                <m:t>m</m:t>
              </m:r>
            </m:e>
            <m:sub>
              <m:r>
                <m:t>i</m:t>
              </m:r>
              <m:r>
                <m:rPr>
                  <m:sty m:val="p"/>
                </m:rPr>
                <m:t>,</m:t>
              </m:r>
              <m:r>
                <m:t>k</m:t>
              </m:r>
              <m:r>
                <m:rPr>
                  <m:sty m:val="p"/>
                </m:rPr>
                <m:t>,</m:t>
              </m:r>
              <m:r>
                <m:t>t</m:t>
              </m:r>
              <m:r>
                <m:rPr>
                  <m:sty m:val="p"/>
                </m:rPr>
                <m:t>−</m:t>
              </m:r>
              <m:r>
                <m:t>1</m:t>
              </m:r>
            </m:sub>
            <m:sup>
              <m:r>
                <m:rPr>
                  <m:sty m:val="p"/>
                </m:rPr>
                <m:t>*</m:t>
              </m:r>
            </m:sup>
          </m:sSubSup>
          <m:sSup>
            <m:e>
              <m:d>
                <m:dPr>
                  <m:begChr m:val="("/>
                  <m:endChr m:val=")"/>
                  <m:sepChr m:val=""/>
                  <m:grow/>
                </m:dPr>
                <m:e>
                  <m:f>
                    <m:fPr>
                      <m:type m:val="bar"/>
                    </m:fPr>
                    <m:num>
                      <m:sSub>
                        <m:e>
                          <m:r>
                            <m:t>Y</m:t>
                          </m:r>
                        </m:e>
                        <m:sub>
                          <m:r>
                            <m:t>i</m:t>
                          </m:r>
                          <m:r>
                            <m:rPr>
                              <m:sty m:val="p"/>
                            </m:rPr>
                            <m:t>,</m:t>
                          </m:r>
                          <m:r>
                            <m:t>k</m:t>
                          </m:r>
                        </m:sub>
                      </m:sSub>
                    </m:num>
                    <m:den>
                      <m:sSub>
                        <m:e>
                          <m:r>
                            <m:t>Y</m:t>
                          </m:r>
                        </m:e>
                        <m:sub>
                          <m:r>
                            <m:t>i</m:t>
                          </m:r>
                          <m:r>
                            <m:rPr>
                              <m:sty m:val="p"/>
                            </m:rPr>
                            <m:t>,</m:t>
                          </m:r>
                          <m:r>
                            <m:t>j</m:t>
                          </m:r>
                          <m:r>
                            <m:rPr>
                              <m:sty m:val="p"/>
                            </m:rPr>
                            <m:t>,</m:t>
                          </m:r>
                          <m:r>
                            <m:t>t</m:t>
                          </m:r>
                          <m:r>
                            <m:rPr>
                              <m:sty m:val="p"/>
                            </m:rPr>
                            <m:t>−</m:t>
                          </m:r>
                          <m:r>
                            <m:t>1</m:t>
                          </m:r>
                        </m:sub>
                      </m:sSub>
                    </m:den>
                  </m:f>
                </m:e>
              </m:d>
            </m:e>
            <m:sup>
              <m:sSub>
                <m:e>
                  <m:r>
                    <m:t>ζ</m:t>
                  </m:r>
                </m:e>
                <m:sub>
                  <m:r>
                    <m:t>i</m:t>
                  </m:r>
                  <m:r>
                    <m:rPr>
                      <m:sty m:val="p"/>
                    </m:rPr>
                    <m:t>,</m:t>
                  </m:r>
                  <m:r>
                    <m:t>k</m:t>
                  </m:r>
                </m:sub>
              </m:sSub>
            </m:sup>
          </m:sSup>
        </m:oMath>
      </m:oMathPara>
    </w:p>
    <w:p>
      <w:pPr>
        <w:pStyle w:val="FirstParagraph"/>
      </w:pPr>
      <w:r>
        <w:t xml:space="preserve">The manufacturing costs of each product represent all costs of inputs not explicitly modelled in TiMBA (labour, energy,</w:t>
      </w:r>
      <w:r>
        <w:t xml:space="preserve"> </w:t>
      </w:r>
      <w:r>
        <w:t xml:space="preserve">capital, additional materials), excluding costs of raw materials in a given year and country.</w:t>
      </w:r>
      <w:r>
        <w:t xml:space="preserve"> </w:t>
      </w:r>
      <w:r>
        <w:t xml:space="preserve">For net exporting countries, raw material costs are computed by multiplying the domestic prices of input products by the</w:t>
      </w:r>
      <w:r>
        <w:t xml:space="preserve"> </w:t>
      </w:r>
      <w:r>
        <w:t xml:space="preserve">input-output coefficients. For net importing countries, raw material costs are computed by multiplying the world market</w:t>
      </w:r>
      <w:r>
        <w:t xml:space="preserve"> </w:t>
      </w:r>
      <w:r>
        <w:t xml:space="preserve">price of input products by the input-output coefficients.</w:t>
      </w:r>
    </w:p>
    <w:p>
      <w:pPr>
        <w:pStyle w:val="BodyText"/>
      </w:pPr>
      <w:r>
        <w:t xml:space="preserve">The input-output coefficient of each product in a specific year and country states the amount of input necessary to</w:t>
      </w:r>
      <w:r>
        <w:t xml:space="preserve"> </w:t>
      </w:r>
      <w:r>
        <w:t xml:space="preserve">produce one unit of output. The input-output coefficients and manufacturing cost for the base period are obtained by</w:t>
      </w:r>
      <w:r>
        <w:t xml:space="preserve"> </w:t>
      </w:r>
      <w:r>
        <w:t xml:space="preserve">a goal programming procedure and depend on production and trade data from FAOSTAT and exogenous bounds on minimum and</w:t>
      </w:r>
      <w:r>
        <w:t xml:space="preserve"> </w:t>
      </w:r>
      <w:r>
        <w:t xml:space="preserve">maximum input per output and cost</w:t>
      </w:r>
      <w:r>
        <w:t xml:space="preserve"> </w:t>
      </w:r>
      <w:r>
        <w:t xml:space="preserve">(</w:t>
      </w:r>
      <w:hyperlink w:anchor="ref-Buongiorno:2015">
        <w:r>
          <w:rPr>
            <w:rStyle w:val="Hyperlink"/>
          </w:rPr>
          <w:t xml:space="preserve">Buongiorno 2015</w:t>
        </w:r>
      </w:hyperlink>
      <w:r>
        <w:t xml:space="preserve">)</w:t>
      </w:r>
      <w:r>
        <w:t xml:space="preserve">.</w:t>
      </w:r>
    </w:p>
    <w:p>
      <w:pPr>
        <w:pStyle w:val="BodyText"/>
      </w:pPr>
      <w:r>
        <w:t xml:space="preserve">Manufacturing costs and input-output coefficients can be exogenously shifted over the calculated periods to reflect</w:t>
      </w:r>
      <w:r>
        <w:t xml:space="preserve"> </w:t>
      </w:r>
      <w:r>
        <w:t xml:space="preserve">technological development. While input-output coefficients are updated in TiMBA, manufacturing costs are developed</w:t>
      </w:r>
      <w:r>
        <w:t xml:space="preserve"> </w:t>
      </w:r>
      <w:r>
        <w:t xml:space="preserve">based on an exogenous growth rate</w:t>
      </w:r>
      <w:r>
        <w:t xml:space="preserve"> </w:t>
      </w:r>
      <m:oMath>
        <m:sSub>
          <m:e>
            <m:r>
              <m:t>g</m:t>
            </m:r>
          </m:e>
          <m:sub>
            <m:r>
              <m:t>m</m:t>
            </m:r>
          </m:sub>
        </m:sSub>
      </m:oMath>
      <w:r>
        <w:t xml:space="preserve">.</w:t>
      </w:r>
    </w:p>
    <w:p>
      <w:pPr>
        <w:pStyle w:val="BodyText"/>
      </w:pPr>
      <m:oMathPara>
        <m:oMathParaPr>
          <m:jc m:val="center"/>
        </m:oMathParaPr>
        <m:oMath>
          <m:sSubSup>
            <m:e>
              <m:r>
                <m:t>m</m:t>
              </m:r>
            </m:e>
            <m:sub>
              <m:r>
                <m:t>i</m:t>
              </m:r>
              <m:r>
                <m:rPr>
                  <m:sty m:val="p"/>
                </m:rPr>
                <m:t>,</m:t>
              </m:r>
              <m:r>
                <m:t>k</m:t>
              </m:r>
            </m:sub>
            <m:sup>
              <m:r>
                <m:rPr>
                  <m:sty m:val="p"/>
                </m:rPr>
                <m:t>*</m:t>
              </m:r>
            </m:sup>
          </m:sSubSup>
          <m:r>
            <m:rPr>
              <m:sty m:val="p"/>
            </m:rPr>
            <m:t>=</m:t>
          </m:r>
          <m:sSub>
            <m:e>
              <m:r>
                <m:t>m</m:t>
              </m:r>
            </m:e>
            <m:sub>
              <m:r>
                <m:t>i</m:t>
              </m:r>
              <m:r>
                <m:rPr>
                  <m:sty m:val="p"/>
                </m:rPr>
                <m:t>,</m:t>
              </m:r>
              <m:r>
                <m:t>k</m:t>
              </m:r>
              <m:r>
                <m:rPr>
                  <m:sty m:val="p"/>
                </m:rPr>
                <m:t>,</m:t>
              </m:r>
              <m:r>
                <m:t>t</m:t>
              </m:r>
              <m:r>
                <m:rPr>
                  <m:sty m:val="p"/>
                </m:rPr>
                <m:t>−</m:t>
              </m:r>
              <m:r>
                <m:t>1</m:t>
              </m:r>
            </m:sub>
          </m:sSub>
          <m:d>
            <m:dPr>
              <m:begChr m:val="("/>
              <m:endChr m:val=")"/>
              <m:sepChr m:val=""/>
              <m:grow/>
            </m:dPr>
            <m:e>
              <m:r>
                <m:t>1</m:t>
              </m:r>
              <m:r>
                <m:rPr>
                  <m:sty m:val="p"/>
                </m:rPr>
                <m:t>+</m:t>
              </m:r>
              <m:sSub>
                <m:e>
                  <m:r>
                    <m:t>g</m:t>
                  </m:r>
                </m:e>
                <m:sub>
                  <m:r>
                    <m:t>m</m:t>
                  </m:r>
                </m:sub>
              </m:sSub>
            </m:e>
          </m:d>
        </m:oMath>
      </m:oMathPara>
    </w:p>
    <w:bookmarkEnd w:id="32"/>
    <w:bookmarkStart w:id="33" w:name="trade"/>
    <w:p>
      <w:pPr>
        <w:pStyle w:val="Heading3"/>
      </w:pPr>
      <w:r>
        <w:t xml:space="preserve">Trade:</w:t>
      </w:r>
    </w:p>
    <w:p>
      <w:pPr>
        <w:pStyle w:val="FirstParagraph"/>
      </w:pPr>
      <w:r>
        <w:t xml:space="preserve">In TiMBA, all countries import from and export to a virtual buffer region called zy. Since all countries</w:t>
      </w:r>
      <w:r>
        <w:t xml:space="preserve"> </w:t>
      </w:r>
      <w:r>
        <w:t xml:space="preserve">trade via the region zy, bilateral trade fluxes are not represented in the basic model version. The trade in TiMBA</w:t>
      </w:r>
      <w:r>
        <w:t xml:space="preserve"> </w:t>
      </w:r>
      <w:r>
        <w:t xml:space="preserve">depends on the transportation costs (</w:t>
      </w:r>
      <m:oMath>
        <m:sSub>
          <m:e>
            <m:r>
              <m:t>c</m:t>
            </m:r>
          </m:e>
          <m:sub>
            <m:r>
              <m:t>i</m:t>
            </m:r>
            <m:r>
              <m:rPr>
                <m:sty m:val="p"/>
              </m:rPr>
              <m:t>,</m:t>
            </m:r>
            <m:r>
              <m:t>j</m:t>
            </m:r>
            <m:r>
              <m:rPr>
                <m:sty m:val="p"/>
              </m:rPr>
              <m:t>,</m:t>
            </m:r>
            <m:r>
              <m:t>k</m:t>
            </m:r>
          </m:sub>
        </m:sSub>
      </m:oMath>
      <w:r>
        <w:t xml:space="preserve">), the world price, and trade inertia bounds.</w:t>
      </w:r>
      <w:r>
        <w:t xml:space="preserve"> </w:t>
      </w:r>
      <w:r>
        <w:t xml:space="preserve">The equation (tbd) represents the country and product-specific unit cost of transportation (</w:t>
      </w:r>
      <m:oMath>
        <m:sSub>
          <m:e>
            <m:r>
              <m:t>c</m:t>
            </m:r>
          </m:e>
          <m:sub>
            <m:r>
              <m:t>i</m:t>
            </m:r>
            <m:r>
              <m:rPr>
                <m:sty m:val="p"/>
              </m:rPr>
              <m:t>,</m:t>
            </m:r>
            <m:r>
              <m:t>j</m:t>
            </m:r>
            <m:r>
              <m:rPr>
                <m:sty m:val="p"/>
              </m:rPr>
              <m:t>,</m:t>
            </m:r>
            <m:r>
              <m:t>k</m:t>
            </m:r>
          </m:sub>
        </m:sSub>
      </m:oMath>
      <w:r>
        <w:t xml:space="preserve">) where</w:t>
      </w:r>
      <w:r>
        <w:t xml:space="preserve"> </w:t>
      </w:r>
      <m:oMath>
        <m:sSup>
          <m:e>
            <m:r>
              <m:t>c</m:t>
            </m:r>
          </m:e>
          <m:sup>
            <m:r>
              <m:rPr>
                <m:sty m:val="p"/>
              </m:rPr>
              <m:t>*</m:t>
            </m:r>
          </m:sup>
        </m:sSup>
      </m:oMath>
      <w:r>
        <w:t xml:space="preserve"> </w:t>
      </w:r>
      <w:r>
        <w:t xml:space="preserve">is the current transportation cost at the last period’s traded quantity and</w:t>
      </w:r>
      <w:r>
        <w:t xml:space="preserve"> </w:t>
      </w:r>
      <m:oMath>
        <m:r>
          <m:t>τ</m:t>
        </m:r>
      </m:oMath>
      <w:r>
        <w:t xml:space="preserve"> </w:t>
      </w:r>
      <w:r>
        <w:t xml:space="preserve">the elasticity of transport cost with</w:t>
      </w:r>
      <w:r>
        <w:t xml:space="preserve"> </w:t>
      </w:r>
      <w:r>
        <w:t xml:space="preserve">respect to traded quantity.</w:t>
      </w:r>
    </w:p>
    <w:p>
      <w:pPr>
        <w:pStyle w:val="BodyText"/>
      </w:pPr>
      <m:oMathPara>
        <m:oMathParaPr>
          <m:jc m:val="center"/>
        </m:oMathParaPr>
        <m:oMath>
          <m:sSub>
            <m:e>
              <m:r>
                <m:t>c</m:t>
              </m:r>
            </m:e>
            <m:sub>
              <m:r>
                <m:t>i</m:t>
              </m:r>
              <m:r>
                <m:rPr>
                  <m:sty m:val="p"/>
                </m:rPr>
                <m:t>,</m:t>
              </m:r>
              <m:r>
                <m:t>j</m:t>
              </m:r>
              <m:r>
                <m:rPr>
                  <m:sty m:val="p"/>
                </m:rPr>
                <m:t>,</m:t>
              </m:r>
              <m:r>
                <m:t>k</m:t>
              </m:r>
            </m:sub>
          </m:sSub>
          <m:d>
            <m:dPr>
              <m:begChr m:val="("/>
              <m:endChr m:val=")"/>
              <m:sepChr m:val=""/>
              <m:grow/>
            </m:dPr>
            <m:e>
              <m:sSub>
                <m:e>
                  <m:r>
                    <m:t>T</m:t>
                  </m:r>
                </m:e>
                <m:sub>
                  <m:r>
                    <m:t>i</m:t>
                  </m:r>
                  <m:r>
                    <m:rPr>
                      <m:sty m:val="p"/>
                    </m:rPr>
                    <m:t>,</m:t>
                  </m:r>
                  <m:r>
                    <m:t>j</m:t>
                  </m:r>
                  <m:r>
                    <m:rPr>
                      <m:sty m:val="p"/>
                    </m:rPr>
                    <m:t>,</m:t>
                  </m:r>
                  <m:r>
                    <m:t>k</m:t>
                  </m:r>
                </m:sub>
              </m:sSub>
            </m:e>
          </m:d>
          <m:r>
            <m:rPr>
              <m:sty m:val="p"/>
            </m:rPr>
            <m:t>=</m:t>
          </m:r>
          <m:sSubSup>
            <m:e>
              <m:r>
                <m:t>c</m:t>
              </m:r>
            </m:e>
            <m:sub>
              <m:r>
                <m:t>i</m:t>
              </m:r>
              <m:r>
                <m:rPr>
                  <m:sty m:val="p"/>
                </m:rPr>
                <m:t>,</m:t>
              </m:r>
              <m:r>
                <m:t>j</m:t>
              </m:r>
              <m:r>
                <m:rPr>
                  <m:sty m:val="p"/>
                </m:rPr>
                <m:t>,</m:t>
              </m:r>
              <m:r>
                <m:t>k</m:t>
              </m:r>
              <m:r>
                <m:rPr>
                  <m:sty m:val="p"/>
                </m:rPr>
                <m:t>,</m:t>
              </m:r>
              <m:r>
                <m:t>t</m:t>
              </m:r>
              <m:r>
                <m:rPr>
                  <m:sty m:val="p"/>
                </m:rPr>
                <m:t>−</m:t>
              </m:r>
              <m:r>
                <m:t>1</m:t>
              </m:r>
            </m:sub>
            <m:sup>
              <m:r>
                <m:rPr>
                  <m:sty m:val="p"/>
                </m:rPr>
                <m:t>*</m:t>
              </m:r>
            </m:sup>
          </m:sSubSup>
          <m:sSup>
            <m:e>
              <m:d>
                <m:dPr>
                  <m:begChr m:val="("/>
                  <m:endChr m:val=")"/>
                  <m:sepChr m:val=""/>
                  <m:grow/>
                </m:dPr>
                <m:e>
                  <m:f>
                    <m:fPr>
                      <m:type m:val="bar"/>
                    </m:fPr>
                    <m:num>
                      <m:sSub>
                        <m:e>
                          <m:r>
                            <m:t>T</m:t>
                          </m:r>
                        </m:e>
                        <m:sub>
                          <m:r>
                            <m:t>i</m:t>
                          </m:r>
                          <m:r>
                            <m:rPr>
                              <m:sty m:val="p"/>
                            </m:rPr>
                            <m:t>,</m:t>
                          </m:r>
                          <m:r>
                            <m:t>j</m:t>
                          </m:r>
                          <m:r>
                            <m:rPr>
                              <m:sty m:val="p"/>
                            </m:rPr>
                            <m:t>,</m:t>
                          </m:r>
                          <m:r>
                            <m:t>k</m:t>
                          </m:r>
                        </m:sub>
                      </m:sSub>
                    </m:num>
                    <m:den>
                      <m:sSub>
                        <m:e>
                          <m:r>
                            <m:t>T</m:t>
                          </m:r>
                        </m:e>
                        <m:sub>
                          <m:r>
                            <m:t>i</m:t>
                          </m:r>
                          <m:r>
                            <m:rPr>
                              <m:sty m:val="p"/>
                            </m:rPr>
                            <m:t>,</m:t>
                          </m:r>
                          <m:r>
                            <m:t>j</m:t>
                          </m:r>
                          <m:r>
                            <m:rPr>
                              <m:sty m:val="p"/>
                            </m:rPr>
                            <m:t>,</m:t>
                          </m:r>
                          <m:r>
                            <m:t>k</m:t>
                          </m:r>
                          <m:r>
                            <m:rPr>
                              <m:sty m:val="p"/>
                            </m:rPr>
                            <m:t>,</m:t>
                          </m:r>
                          <m:r>
                            <m:t>t</m:t>
                          </m:r>
                          <m:r>
                            <m:rPr>
                              <m:sty m:val="p"/>
                            </m:rPr>
                            <m:t>−</m:t>
                          </m:r>
                          <m:r>
                            <m:t>1</m:t>
                          </m:r>
                        </m:sub>
                      </m:sSub>
                    </m:den>
                  </m:f>
                </m:e>
              </m:d>
            </m:e>
            <m:sup>
              <m:sSub>
                <m:e>
                  <m:r>
                    <m:t>τ</m:t>
                  </m:r>
                </m:e>
                <m:sub>
                  <m:r>
                    <m:t>i</m:t>
                  </m:r>
                  <m:r>
                    <m:rPr>
                      <m:sty m:val="p"/>
                    </m:rPr>
                    <m:t>,</m:t>
                  </m:r>
                  <m:r>
                    <m:t>j</m:t>
                  </m:r>
                  <m:r>
                    <m:rPr>
                      <m:sty m:val="p"/>
                    </m:rPr>
                    <m:t>,</m:t>
                  </m:r>
                  <m:r>
                    <m:t>k</m:t>
                  </m:r>
                </m:sub>
              </m:sSub>
            </m:sup>
          </m:sSup>
        </m:oMath>
      </m:oMathPara>
    </w:p>
    <w:p>
      <w:pPr>
        <w:pStyle w:val="FirstParagraph"/>
      </w:pPr>
      <w:r>
        <w:t xml:space="preserve">In the base period,</w:t>
      </w:r>
      <w:r>
        <w:t xml:space="preserve"> </w:t>
      </w:r>
      <m:oMath>
        <m:sSub>
          <m:e>
            <m:r>
              <m:t>c</m:t>
            </m:r>
          </m:e>
          <m:sub>
            <m:r>
              <m:t>i</m:t>
            </m:r>
          </m:sub>
        </m:sSub>
        <m:r>
          <m:t>j</m:t>
        </m:r>
        <m:r>
          <m:t>k</m:t>
        </m:r>
      </m:oMath>
      <w:r>
        <w:t xml:space="preserve"> </w:t>
      </w:r>
      <w:r>
        <w:t xml:space="preserve">is determined by equation tbd where</w:t>
      </w:r>
      <w:r>
        <w:t xml:space="preserve"> </w:t>
      </w:r>
      <m:oMath>
        <m:sSub>
          <m:e>
            <m:r>
              <m:t>f</m:t>
            </m:r>
          </m:e>
          <m:sub>
            <m:r>
              <m:t>i</m:t>
            </m:r>
          </m:sub>
        </m:sSub>
        <m:r>
          <m:t>j</m:t>
        </m:r>
        <m:r>
          <m:t>k</m:t>
        </m:r>
      </m:oMath>
      <w:r>
        <w:t xml:space="preserve"> </w:t>
      </w:r>
      <w:r>
        <w:t xml:space="preserve">represents the freight cost</w:t>
      </w:r>
      <w:r>
        <w:t xml:space="preserve"> </w:t>
      </w:r>
      <w:r>
        <w:t xml:space="preserve">per unit of transported product</w:t>
      </w:r>
      <w:r>
        <w:t xml:space="preserve"> </w:t>
      </w:r>
      <m:oMath>
        <m:r>
          <m:t>k</m:t>
        </m:r>
      </m:oMath>
      <w:r>
        <w:t xml:space="preserve"> </w:t>
      </w:r>
      <w:r>
        <w:t xml:space="preserve">between country</w:t>
      </w:r>
      <w:r>
        <w:t xml:space="preserve"> </w:t>
      </w:r>
      <m:oMath>
        <m:r>
          <m:t>i</m:t>
        </m:r>
      </m:oMath>
      <w:r>
        <w:t xml:space="preserve"> </w:t>
      </w:r>
      <w:r>
        <w:t xml:space="preserve">and</w:t>
      </w:r>
      <w:r>
        <w:t xml:space="preserve"> </w:t>
      </w:r>
      <m:oMath>
        <m:r>
          <m:t>j</m:t>
        </m:r>
      </m:oMath>
      <w:r>
        <w:t xml:space="preserve">.</w:t>
      </w:r>
      <w:r>
        <w:t xml:space="preserve"> </w:t>
      </w:r>
      <m:oMath>
        <m:sSub>
          <m:e>
            <m:r>
              <m:t>t</m:t>
            </m:r>
          </m:e>
          <m:sub>
            <m:r>
              <m:t>j</m:t>
            </m:r>
          </m:sub>
        </m:sSub>
        <m:sSup>
          <m:e>
            <m:r>
              <m:t>k</m:t>
            </m:r>
          </m:e>
          <m:sup>
            <m:r>
              <m:t>X</m:t>
            </m:r>
          </m:sup>
        </m:sSup>
      </m:oMath>
      <w:r>
        <w:t xml:space="preserve"> </w:t>
      </w:r>
      <w:r>
        <w:t xml:space="preserve">and</w:t>
      </w:r>
      <w:r>
        <w:t xml:space="preserve"> </w:t>
      </w:r>
      <m:oMath>
        <m:sSub>
          <m:e>
            <m:r>
              <m:t>t</m:t>
            </m:r>
          </m:e>
          <m:sub>
            <m:r>
              <m:t>j</m:t>
            </m:r>
          </m:sub>
        </m:sSub>
        <m:sSup>
          <m:e>
            <m:r>
              <m:t>k</m:t>
            </m:r>
          </m:e>
          <m:sup>
            <m:r>
              <m:t>I</m:t>
            </m:r>
          </m:sup>
        </m:sSup>
      </m:oMath>
      <w:r>
        <w:t xml:space="preserve"> </w:t>
      </w:r>
      <w:r>
        <w:t xml:space="preserve">depict the export and import</w:t>
      </w:r>
      <w:r>
        <w:t xml:space="preserve"> </w:t>
      </w:r>
      <w:r>
        <w:t xml:space="preserve">ad-valorem tax rates, respectively.</w:t>
      </w:r>
      <w:r>
        <w:t xml:space="preserve"> </w:t>
      </w:r>
      <m:oMath>
        <m:sSub>
          <m:e>
            <m:r>
              <m:t>P</m:t>
            </m:r>
          </m:e>
          <m:sub>
            <m:d>
              <m:dPr>
                <m:begChr m:val="("/>
                <m:endChr m:val=")"/>
                <m:sepChr m:val=""/>
                <m:grow/>
              </m:dPr>
              <m:e>
                <m:r>
                  <m:t>i</m:t>
                </m:r>
                <m:r>
                  <m:t>k</m:t>
                </m:r>
                <m:r>
                  <m:rPr>
                    <m:sty m:val="p"/>
                  </m:rPr>
                  <m:t>−</m:t>
                </m:r>
                <m:r>
                  <m:t>1</m:t>
                </m:r>
              </m:e>
            </m:d>
          </m:sub>
        </m:sSub>
      </m:oMath>
      <w:r>
        <w:t xml:space="preserve"> </w:t>
      </w:r>
      <w:r>
        <w:t xml:space="preserve">is the world price of the previous period. In TiMBA, the transportation</w:t>
      </w:r>
      <w:r>
        <w:t xml:space="preserve"> </w:t>
      </w:r>
      <w:r>
        <w:t xml:space="preserve">costs plus the world price are carried by the net importing countries. The price for net exporting countries is the</w:t>
      </w:r>
      <w:r>
        <w:t xml:space="preserve"> </w:t>
      </w:r>
      <w:r>
        <w:t xml:space="preserve">world price.</w:t>
      </w:r>
    </w:p>
    <w:p>
      <w:pPr>
        <w:pStyle w:val="BodyText"/>
      </w:pPr>
      <m:oMathPara>
        <m:oMathParaPr>
          <m:jc m:val="center"/>
        </m:oMathParaPr>
        <m:oMath>
          <m:sSub>
            <m:e>
              <m:r>
                <m:t>c</m:t>
              </m:r>
            </m:e>
            <m:sub>
              <m:r>
                <m:t>i</m:t>
              </m:r>
              <m:r>
                <m:rPr>
                  <m:sty m:val="p"/>
                </m:rPr>
                <m:t>,</m:t>
              </m:r>
              <m:r>
                <m:t>j</m:t>
              </m:r>
              <m:r>
                <m:rPr>
                  <m:sty m:val="p"/>
                </m:rPr>
                <m:t>,</m:t>
              </m:r>
              <m:r>
                <m:t>k</m:t>
              </m:r>
            </m:sub>
          </m:sSub>
          <m:r>
            <m:rPr>
              <m:sty m:val="p"/>
            </m:rPr>
            <m:t>=</m:t>
          </m:r>
          <m:sSub>
            <m:e>
              <m:r>
                <m:t>f</m:t>
              </m:r>
            </m:e>
            <m:sub>
              <m:r>
                <m:t>i</m:t>
              </m:r>
              <m:r>
                <m:rPr>
                  <m:sty m:val="p"/>
                </m:rPr>
                <m:t>,</m:t>
              </m:r>
              <m:r>
                <m:t>j</m:t>
              </m:r>
              <m:r>
                <m:rPr>
                  <m:sty m:val="p"/>
                </m:rPr>
                <m:t>,</m:t>
              </m:r>
              <m:r>
                <m:t>k</m:t>
              </m:r>
            </m:sub>
          </m:sSub>
          <m:r>
            <m:rPr>
              <m:sty m:val="p"/>
            </m:rPr>
            <m:t>+</m:t>
          </m:r>
          <m:sSub>
            <m:e>
              <m:r>
                <m:t>t</m:t>
              </m:r>
            </m:e>
            <m:sub>
              <m:r>
                <m:t>j</m:t>
              </m:r>
            </m:sub>
          </m:sSub>
          <m:sSup>
            <m:e>
              <m:r>
                <m:t>k</m:t>
              </m:r>
            </m:e>
            <m:sup>
              <m:r>
                <m:t>X</m:t>
              </m:r>
            </m:sup>
          </m:sSup>
          <m:sSub>
            <m:e>
              <m:r>
                <m:t>P</m:t>
              </m:r>
            </m:e>
            <m:sub>
              <m:r>
                <m:t>i</m:t>
              </m:r>
              <m:r>
                <m:t>k</m:t>
              </m:r>
              <m:r>
                <m:rPr>
                  <m:sty m:val="p"/>
                </m:rPr>
                <m:t>−</m:t>
              </m:r>
              <m:r>
                <m:t>1</m:t>
              </m:r>
            </m:sub>
          </m:sSub>
          <m:r>
            <m:rPr>
              <m:sty m:val="p"/>
            </m:rPr>
            <m:t>+</m:t>
          </m:r>
          <m:sSub>
            <m:e>
              <m:r>
                <m:t>t</m:t>
              </m:r>
            </m:e>
            <m:sub>
              <m:r>
                <m:t>j</m:t>
              </m:r>
            </m:sub>
          </m:sSub>
          <m:sSup>
            <m:e>
              <m:r>
                <m:t>k</m:t>
              </m:r>
            </m:e>
            <m:sup>
              <m:r>
                <m:t>I</m:t>
              </m:r>
            </m:sup>
          </m:sSup>
          <m:sSub>
            <m:e>
              <m:r>
                <m:t>f</m:t>
              </m:r>
            </m:e>
            <m:sub>
              <m:r>
                <m:t>i</m:t>
              </m:r>
              <m:r>
                <m:rPr>
                  <m:sty m:val="p"/>
                </m:rPr>
                <m:t>,</m:t>
              </m:r>
              <m:r>
                <m:t>j</m:t>
              </m:r>
              <m:r>
                <m:rPr>
                  <m:sty m:val="p"/>
                </m:rPr>
                <m:t>,</m:t>
              </m:r>
              <m:r>
                <m:t>k</m:t>
              </m:r>
            </m:sub>
          </m:sSub>
          <m:r>
            <m:rPr>
              <m:sty m:val="p"/>
            </m:rPr>
            <m:t>+</m:t>
          </m:r>
          <m:sSub>
            <m:e>
              <m:r>
                <m:t>P</m:t>
              </m:r>
            </m:e>
            <m:sub>
              <m:r>
                <m:t>i</m:t>
              </m:r>
              <m:r>
                <m:t>k</m:t>
              </m:r>
              <m:r>
                <m:rPr>
                  <m:sty m:val="p"/>
                </m:rPr>
                <m:t>−</m:t>
              </m:r>
              <m:r>
                <m:t>1</m:t>
              </m:r>
            </m:sub>
          </m:sSub>
        </m:oMath>
      </m:oMathPara>
    </w:p>
    <w:p>
      <w:pPr>
        <w:pStyle w:val="FirstParagraph"/>
      </w:pPr>
      <w:r>
        <w:t xml:space="preserve">Further, trade in TiMBA is constrained by trade inertia bounds which depict an exogenous development range based on the</w:t>
      </w:r>
      <w:r>
        <w:t xml:space="preserve"> </w:t>
      </w:r>
      <w:r>
        <w:t xml:space="preserve">traded quantity of the previous period (equation tbd) where</w:t>
      </w:r>
      <w:r>
        <w:t xml:space="preserve"> </w:t>
      </w:r>
      <m:oMath>
        <m:sSub>
          <m:e>
            <m:r>
              <m:t>T</m:t>
            </m:r>
          </m:e>
          <m:sub>
            <m:r>
              <m:t>i</m:t>
            </m:r>
          </m:sub>
        </m:sSub>
        <m:r>
          <m:t>j</m:t>
        </m:r>
        <m:sSup>
          <m:e>
            <m:r>
              <m:t>k</m:t>
            </m:r>
          </m:e>
          <m:sup>
            <m:r>
              <m:t>L</m:t>
            </m:r>
          </m:sup>
        </m:sSup>
      </m:oMath>
      <w:r>
        <w:t xml:space="preserve"> </w:t>
      </w:r>
      <w:r>
        <w:t xml:space="preserve">and</w:t>
      </w:r>
      <w:r>
        <w:t xml:space="preserve"> </w:t>
      </w:r>
      <m:oMath>
        <m:sSub>
          <m:e>
            <m:r>
              <m:t>T</m:t>
            </m:r>
          </m:e>
          <m:sub>
            <m:r>
              <m:t>i</m:t>
            </m:r>
          </m:sub>
        </m:sSub>
        <m:r>
          <m:t>j</m:t>
        </m:r>
        <m:sSup>
          <m:e>
            <m:r>
              <m:t>k</m:t>
            </m:r>
          </m:e>
          <m:sup>
            <m:r>
              <m:t>U</m:t>
            </m:r>
          </m:sup>
        </m:sSup>
      </m:oMath>
      <w:r>
        <w:t xml:space="preserve"> </w:t>
      </w:r>
      <w:r>
        <w:t xml:space="preserve">are the lower and upper bounds,</w:t>
      </w:r>
      <w:r>
        <w:t xml:space="preserve"> </w:t>
      </w:r>
      <w:r>
        <w:t xml:space="preserve">respectively. For the first period, trade inertia bounds are close to zero to comply with trade quantities from the</w:t>
      </w:r>
      <w:r>
        <w:t xml:space="preserve"> </w:t>
      </w:r>
      <w:r>
        <w:t xml:space="preserve">calibration. To avoid infeasibility, trade inertia bounds are introduced as a flexible constraint in the optimization.</w:t>
      </w:r>
      <w:r>
        <w:t xml:space="preserve"> </w:t>
      </w:r>
      <w:r>
        <w:t xml:space="preserve">In this way, TiMBA can trespass the trade inertia bounds when necessary to find an optimal solution.</w:t>
      </w:r>
      <w:r>
        <w:t xml:space="preserve"> </w:t>
      </w:r>
      <w:r>
        <w:t xml:space="preserve">However, trespasses are sanctioned in the objective function by multiplying the difference by the lower or upper bound</w:t>
      </w:r>
      <w:r>
        <w:t xml:space="preserve"> </w:t>
      </w:r>
      <w:r>
        <w:t xml:space="preserve">with the world prices (equation tbd and equation tbd).</w:t>
      </w:r>
    </w:p>
    <w:p>
      <w:pPr>
        <w:pStyle w:val="BodyText"/>
      </w:pPr>
      <m:oMathPara>
        <m:oMathParaPr>
          <m:jc m:val="center"/>
        </m:oMathParaPr>
        <m:oMath>
          <m:sSubSup>
            <m:e>
              <m:r>
                <m:t>T</m:t>
              </m:r>
            </m:e>
            <m:sub>
              <m:r>
                <m:t>i</m:t>
              </m:r>
              <m:r>
                <m:rPr>
                  <m:sty m:val="p"/>
                </m:rPr>
                <m:t>,</m:t>
              </m:r>
              <m:r>
                <m:t>j</m:t>
              </m:r>
              <m:r>
                <m:rPr>
                  <m:sty m:val="p"/>
                </m:rPr>
                <m:t>,</m:t>
              </m:r>
              <m:r>
                <m:t>k</m:t>
              </m:r>
            </m:sub>
            <m:sup>
              <m:r>
                <m:t>L</m:t>
              </m:r>
            </m:sup>
          </m:sSubSup>
          <m:r>
            <m:rPr>
              <m:sty m:val="p"/>
            </m:rPr>
            <m:t>≤</m:t>
          </m:r>
          <m:sSub>
            <m:e>
              <m:r>
                <m:t>T</m:t>
              </m:r>
            </m:e>
            <m:sub>
              <m:r>
                <m:t>i</m:t>
              </m:r>
              <m:r>
                <m:rPr>
                  <m:sty m:val="p"/>
                </m:rPr>
                <m:t>,</m:t>
              </m:r>
              <m:r>
                <m:t>j</m:t>
              </m:r>
              <m:r>
                <m:rPr>
                  <m:sty m:val="p"/>
                </m:rPr>
                <m:t>,</m:t>
              </m:r>
              <m:r>
                <m:t>k</m:t>
              </m:r>
            </m:sub>
          </m:sSub>
          <m:r>
            <m:rPr>
              <m:sty m:val="p"/>
            </m:rPr>
            <m:t>≤</m:t>
          </m:r>
          <m:sSubSup>
            <m:e>
              <m:r>
                <m:t>T</m:t>
              </m:r>
            </m:e>
            <m:sub>
              <m:r>
                <m:t>i</m:t>
              </m:r>
              <m:r>
                <m:rPr>
                  <m:sty m:val="p"/>
                </m:rPr>
                <m:t>,</m:t>
              </m:r>
              <m:r>
                <m:t>j</m:t>
              </m:r>
              <m:r>
                <m:rPr>
                  <m:sty m:val="p"/>
                </m:rPr>
                <m:t>,</m:t>
              </m:r>
              <m:r>
                <m:t>k</m:t>
              </m:r>
            </m:sub>
            <m:sup>
              <m:r>
                <m:t>U</m:t>
              </m:r>
            </m:sup>
          </m:sSubSup>
        </m:oMath>
      </m:oMathPara>
    </w:p>
    <w:p>
      <w:pPr>
        <w:pStyle w:val="FirstParagraph"/>
      </w:pPr>
      <m:oMathPara>
        <m:oMathParaPr>
          <m:jc m:val="center"/>
        </m:oMathParaPr>
        <m:oMath>
          <m:r>
            <m:rPr>
              <m:sty m:val="p"/>
            </m:rPr>
            <m:t>∆</m:t>
          </m:r>
          <m:sSub>
            <m:e>
              <m:r>
                <m:t>T</m:t>
              </m:r>
            </m:e>
            <m:sub>
              <m:r>
                <m:t>i</m:t>
              </m:r>
            </m:sub>
          </m:sSub>
          <m:r>
            <m:t>j</m:t>
          </m:r>
          <m:r>
            <m:t>k</m:t>
          </m:r>
          <m:r>
            <m:rPr>
              <m:sty m:val="p"/>
            </m:rPr>
            <m:t>=</m:t>
          </m:r>
          <m:d>
            <m:dPr>
              <m:begChr m:val="("/>
              <m:endChr m:val=")"/>
              <m:sepChr m:val=""/>
              <m:grow/>
            </m:dPr>
            <m:e>
              <m:sSubSup>
                <m:e>
                  <m:r>
                    <m:t>T</m:t>
                  </m:r>
                </m:e>
                <m:sub>
                  <m:r>
                    <m:t>i</m:t>
                  </m:r>
                  <m:r>
                    <m:t>j</m:t>
                  </m:r>
                  <m:r>
                    <m:t>k</m:t>
                  </m:r>
                </m:sub>
                <m:sup>
                  <m:r>
                    <m:t>L</m:t>
                  </m:r>
                </m:sup>
              </m:sSubSup>
              <m:r>
                <m:rPr>
                  <m:sty m:val="p"/>
                </m:rPr>
                <m:t>−</m:t>
              </m:r>
              <m:r>
                <m:t>x</m:t>
              </m:r>
            </m:e>
          </m:d>
          <m:r>
            <m:rPr>
              <m:sty m:val="p"/>
            </m:rPr>
            <m:t>+</m:t>
          </m:r>
          <m:d>
            <m:dPr>
              <m:begChr m:val="("/>
              <m:endChr m:val=")"/>
              <m:sepChr m:val=""/>
              <m:grow/>
            </m:dPr>
            <m:e>
              <m:r>
                <m:t>x</m:t>
              </m:r>
              <m:r>
                <m:rPr>
                  <m:sty m:val="p"/>
                </m:rPr>
                <m:t>−</m:t>
              </m:r>
              <m:sSubSup>
                <m:e>
                  <m:r>
                    <m:t>T</m:t>
                  </m:r>
                </m:e>
                <m:sub>
                  <m:r>
                    <m:t>i</m:t>
                  </m:r>
                  <m:r>
                    <m:t>j</m:t>
                  </m:r>
                  <m:r>
                    <m:t>k</m:t>
                  </m:r>
                </m:sub>
                <m:sup>
                  <m:r>
                    <m:t>U</m:t>
                  </m:r>
                </m:sup>
              </m:sSubSup>
            </m:e>
          </m:d>
        </m:oMath>
      </m:oMathPara>
    </w:p>
    <w:p>
      <w:pPr>
        <w:pStyle w:val="FirstParagraph"/>
      </w:pPr>
      <m:oMathPara>
        <m:oMathParaPr>
          <m:jc m:val="center"/>
        </m:oMathParaPr>
        <m:oMath>
          <m:r>
            <m:t>o</m:t>
          </m:r>
          <m:r>
            <m:t>b</m:t>
          </m:r>
          <m:r>
            <m:t>j</m:t>
          </m:r>
          <m:r>
            <m:t>e</m:t>
          </m:r>
          <m:r>
            <m:t>c</m:t>
          </m:r>
          <m:r>
            <m:t>t</m:t>
          </m:r>
          <m:r>
            <m:t>i</m:t>
          </m:r>
          <m:r>
            <m:t>v</m:t>
          </m:r>
          <m:r>
            <m:t>e</m:t>
          </m:r>
          <m:r>
            <m:t>f</m:t>
          </m:r>
          <m:r>
            <m:t>u</m:t>
          </m:r>
          <m:r>
            <m:t>n</m:t>
          </m:r>
          <m:r>
            <m:t>c</m:t>
          </m:r>
          <m:r>
            <m:t>t</m:t>
          </m:r>
          <m:r>
            <m:t>i</m:t>
          </m:r>
          <m:r>
            <m:t>o</m:t>
          </m:r>
          <m:r>
            <m:t>n</m:t>
          </m:r>
          <m:r>
            <m:rPr>
              <m:sty m:val="p"/>
            </m:rPr>
            <m:t>−</m:t>
          </m:r>
          <m:r>
            <m:rPr>
              <m:sty m:val="p"/>
            </m:rPr>
            <m:t>∆</m:t>
          </m:r>
          <m:sSub>
            <m:e>
              <m:r>
                <m:t>T</m:t>
              </m:r>
            </m:e>
            <m:sub>
              <m:r>
                <m:t>i</m:t>
              </m:r>
            </m:sub>
          </m:sSub>
          <m:r>
            <m:t>j</m:t>
          </m:r>
          <m:r>
            <m:t>k</m:t>
          </m:r>
          <m:r>
            <m:t>W</m:t>
          </m:r>
          <m:sSub>
            <m:e>
              <m:r>
                <m:t>P</m:t>
              </m:r>
            </m:e>
            <m:sub>
              <m:r>
                <m:t>k</m:t>
              </m:r>
            </m:sub>
          </m:sSub>
        </m:oMath>
      </m:oMathPara>
    </w:p>
    <w:p>
      <w:pPr>
        <w:pStyle w:val="FirstParagraph"/>
      </w:pPr>
      <w:r>
        <w:t xml:space="preserve">In TiMBA, the world prices are the dual values (shadow prices) of the material balance for the region zy which equilibrate all</w:t>
      </w:r>
      <w:r>
        <w:t xml:space="preserve"> </w:t>
      </w:r>
      <w:r>
        <w:t xml:space="preserve">imports (</w:t>
      </w:r>
      <m:oMath>
        <m:sSub>
          <m:e>
            <m:r>
              <m:t>T</m:t>
            </m:r>
          </m:e>
          <m:sub>
            <m:r>
              <m:t>i</m:t>
            </m:r>
          </m:sub>
        </m:sSub>
        <m:r>
          <m:t>j</m:t>
        </m:r>
        <m:r>
          <m:t>k</m:t>
        </m:r>
      </m:oMath>
      <w:r>
        <w:t xml:space="preserve">) and exports (</w:t>
      </w:r>
      <m:oMath>
        <m:sSub>
          <m:e>
            <m:r>
              <m:t>T</m:t>
            </m:r>
          </m:e>
          <m:sub>
            <m:r>
              <m:t>j</m:t>
            </m:r>
          </m:sub>
        </m:sSub>
        <m:r>
          <m:t>i</m:t>
        </m:r>
        <m:r>
          <m:t>k</m:t>
        </m:r>
      </m:oMath>
      <w:r>
        <w:t xml:space="preserve">) globally by supplying the deficits (</w:t>
      </w:r>
      <m:oMath>
        <m:sSub>
          <m:e>
            <m:r>
              <m:t>S</m:t>
            </m:r>
          </m:e>
          <m:sub>
            <m:r>
              <m:t>z</m:t>
            </m:r>
          </m:sub>
        </m:sSub>
        <m:r>
          <m:t>y</m:t>
        </m:r>
        <m:r>
          <m:t>k</m:t>
        </m:r>
      </m:oMath>
      <w:r>
        <w:t xml:space="preserve">) or absorbing the surpluses</w:t>
      </w:r>
      <w:r>
        <w:t xml:space="preserve"> </w:t>
      </w:r>
      <w:r>
        <w:t xml:space="preserve">(</w:t>
      </w:r>
      <m:oMath>
        <m:sSub>
          <m:e>
            <m:r>
              <m:t>D</m:t>
            </m:r>
          </m:e>
          <m:sub>
            <m:r>
              <m:t>z</m:t>
            </m:r>
          </m:sub>
        </m:sSub>
        <m:r>
          <m:t>y</m:t>
        </m:r>
        <m:r>
          <m:t>k</m:t>
        </m:r>
      </m:oMath>
      <w:r>
        <w:t xml:space="preserve">) in production:</w:t>
      </w:r>
    </w:p>
    <w:p>
      <w:pPr>
        <w:pStyle w:val="BodyText"/>
      </w:pPr>
      <m:oMathPara>
        <m:oMathParaPr>
          <m:jc m:val="center"/>
        </m:oMathParaPr>
        <m:oMath>
          <m:r>
            <m:t>s</m:t>
          </m:r>
          <m:r>
            <m:t>u</m:t>
          </m:r>
          <m:r>
            <m:t>m</m:t>
          </m:r>
          <m:sSub>
            <m:e>
              <m:r>
                <m:t>T</m:t>
              </m:r>
            </m:e>
            <m:sub>
              <m:r>
                <m:t>i</m:t>
              </m:r>
              <m:r>
                <m:t>j</m:t>
              </m:r>
              <m:r>
                <m:t>k</m:t>
              </m:r>
            </m:sub>
          </m:sSub>
          <m:r>
            <m:rPr>
              <m:sty m:val="p"/>
            </m:rPr>
            <m:t>+</m:t>
          </m:r>
          <m:sSub>
            <m:e>
              <m:r>
                <m:t>S</m:t>
              </m:r>
            </m:e>
            <m:sub>
              <m:r>
                <m:t>z</m:t>
              </m:r>
              <m:r>
                <m:t>y</m:t>
              </m:r>
              <m:r>
                <m:t>k</m:t>
              </m:r>
            </m:sub>
          </m:sSub>
          <m:r>
            <m:rPr>
              <m:sty m:val="p"/>
            </m:rPr>
            <m:t>−</m:t>
          </m:r>
          <m:r>
            <m:t>s</m:t>
          </m:r>
          <m:r>
            <m:t>u</m:t>
          </m:r>
          <m:r>
            <m:t>m</m:t>
          </m:r>
          <m:sSub>
            <m:e>
              <m:r>
                <m:t>T</m:t>
              </m:r>
            </m:e>
            <m:sub>
              <m:r>
                <m:t>j</m:t>
              </m:r>
              <m:r>
                <m:t>i</m:t>
              </m:r>
              <m:r>
                <m:t>k</m:t>
              </m:r>
            </m:sub>
          </m:sSub>
          <m:r>
            <m:rPr>
              <m:sty m:val="p"/>
            </m:rPr>
            <m:t>−</m:t>
          </m:r>
          <m:sSub>
            <m:e>
              <m:r>
                <m:t>D</m:t>
              </m:r>
            </m:e>
            <m:sub>
              <m:r>
                <m:t>z</m:t>
              </m:r>
              <m:r>
                <m:t>y</m:t>
              </m:r>
              <m:r>
                <m:t>k</m:t>
              </m:r>
            </m:sub>
          </m:sSub>
          <m:r>
            <m:rPr>
              <m:sty m:val="p"/>
            </m:rPr>
            <m:t>=</m:t>
          </m:r>
          <m:r>
            <m:t>0</m:t>
          </m:r>
        </m:oMath>
      </m:oMathPara>
    </w:p>
    <w:p>
      <w:pPr>
        <w:pStyle w:val="FirstParagraph"/>
      </w:pPr>
      <w:r>
        <w:t xml:space="preserve">Freight costs and ad-valorem tax rates for imports and exports can be exogenously changed over the simulation periods to</w:t>
      </w:r>
      <w:r>
        <w:t xml:space="preserve"> </w:t>
      </w:r>
      <w:r>
        <w:t xml:space="preserve">mimic changes in socioeconomic circumstances (e.g., changes in trade agreements) using the following equation:</w:t>
      </w:r>
    </w:p>
    <w:p>
      <w:pPr>
        <w:pStyle w:val="BodyText"/>
      </w:pPr>
      <m:oMathPara>
        <m:oMathParaPr>
          <m:jc m:val="center"/>
        </m:oMathParaPr>
        <m:oMath>
          <m:sSubSup>
            <m:e>
              <m:r>
                <m:t>c</m:t>
              </m:r>
            </m:e>
            <m:sub>
              <m:r>
                <m:t>i</m:t>
              </m:r>
              <m:r>
                <m:rPr>
                  <m:sty m:val="p"/>
                </m:rPr>
                <m:t>,</m:t>
              </m:r>
              <m:r>
                <m:t>j</m:t>
              </m:r>
              <m:r>
                <m:rPr>
                  <m:sty m:val="p"/>
                </m:rPr>
                <m:t>,</m:t>
              </m:r>
              <m:r>
                <m:t>k</m:t>
              </m:r>
            </m:sub>
            <m:sup>
              <m:r>
                <m:rPr>
                  <m:sty m:val="p"/>
                </m:rPr>
                <m:t>*</m:t>
              </m:r>
            </m:sup>
          </m:sSubSup>
          <m:r>
            <m:rPr>
              <m:sty m:val="p"/>
            </m:rPr>
            <m:t>=</m:t>
          </m:r>
          <m:sSub>
            <m:e>
              <m:r>
                <m:t>c</m:t>
              </m:r>
            </m:e>
            <m:sub>
              <m:r>
                <m:t>i</m:t>
              </m:r>
              <m:r>
                <m:rPr>
                  <m:sty m:val="p"/>
                </m:rPr>
                <m:t>,</m:t>
              </m:r>
              <m:r>
                <m:t>j</m:t>
              </m:r>
              <m:r>
                <m:rPr>
                  <m:sty m:val="p"/>
                </m:rPr>
                <m:t>,</m:t>
              </m:r>
              <m:r>
                <m:t>k</m:t>
              </m:r>
              <m:r>
                <m:rPr>
                  <m:sty m:val="p"/>
                </m:rPr>
                <m:t>,</m:t>
              </m:r>
              <m:r>
                <m:t>t</m:t>
              </m:r>
              <m:r>
                <m:rPr>
                  <m:sty m:val="p"/>
                </m:rPr>
                <m:t>−</m:t>
              </m:r>
              <m:r>
                <m:t>1</m:t>
              </m:r>
            </m:sub>
          </m:sSub>
          <m:d>
            <m:dPr>
              <m:begChr m:val="("/>
              <m:endChr m:val=")"/>
              <m:sepChr m:val=""/>
              <m:grow/>
            </m:dPr>
            <m:e>
              <m:r>
                <m:t>1</m:t>
              </m:r>
              <m:r>
                <m:rPr>
                  <m:sty m:val="p"/>
                </m:rPr>
                <m:t>+</m:t>
              </m:r>
              <m:sSub>
                <m:e>
                  <m:r>
                    <m:t>g</m:t>
                  </m:r>
                </m:e>
                <m:sub>
                  <m:r>
                    <m:t>f</m:t>
                  </m:r>
                </m:sub>
              </m:sSub>
              <m:r>
                <m:rPr>
                  <m:sty m:val="p"/>
                </m:rPr>
                <m:t>+</m:t>
              </m:r>
              <m:sSubSup>
                <m:e>
                  <m:r>
                    <m:t>g</m:t>
                  </m:r>
                </m:e>
                <m:sub>
                  <m:r>
                    <m:t>t</m:t>
                  </m:r>
                </m:sub>
                <m:sup>
                  <m:r>
                    <m:t>i</m:t>
                  </m:r>
                </m:sup>
              </m:sSubSup>
              <m:r>
                <m:rPr>
                  <m:sty m:val="p"/>
                </m:rPr>
                <m:t>+</m:t>
              </m:r>
              <m:sSubSup>
                <m:e>
                  <m:r>
                    <m:t>g</m:t>
                  </m:r>
                </m:e>
                <m:sub>
                  <m:r>
                    <m:t>i</m:t>
                  </m:r>
                </m:sub>
                <m:sup>
                  <m:r>
                    <m:t>x</m:t>
                  </m:r>
                </m:sup>
              </m:sSubSup>
            </m:e>
          </m:d>
        </m:oMath>
      </m:oMathPara>
    </w:p>
    <w:p>
      <w:pPr>
        <w:pStyle w:val="FirstParagraph"/>
      </w:pPr>
      <w:r>
        <w:t xml:space="preserve">where</w:t>
      </w:r>
      <w:r>
        <w:t xml:space="preserve"> </w:t>
      </w:r>
      <m:oMath>
        <m:sSub>
          <m:e>
            <m:r>
              <m:t>g</m:t>
            </m:r>
          </m:e>
          <m:sub>
            <m:r>
              <m:t>f</m:t>
            </m:r>
          </m:sub>
        </m:sSub>
      </m:oMath>
      <w:r>
        <w:t xml:space="preserve"> </w:t>
      </w:r>
      <w:r>
        <w:t xml:space="preserve">is the growth rate of freight costs,</w:t>
      </w:r>
      <w:r>
        <w:t xml:space="preserve"> </w:t>
      </w:r>
      <m:oMath>
        <m:sSubSup>
          <m:e>
            <m:r>
              <m:t>g</m:t>
            </m:r>
          </m:e>
          <m:sub>
            <m:r>
              <m:t>t</m:t>
            </m:r>
          </m:sub>
          <m:sup>
            <m:r>
              <m:t>i</m:t>
            </m:r>
          </m:sup>
        </m:sSubSup>
      </m:oMath>
      <w:r>
        <w:t xml:space="preserve"> </w:t>
      </w:r>
      <w:r>
        <w:t xml:space="preserve">is the growth rate of import taxes and</w:t>
      </w:r>
      <w:r>
        <w:t xml:space="preserve"> </w:t>
      </w:r>
      <m:oMath>
        <m:sSubSup>
          <m:e>
            <m:r>
              <m:t>g</m:t>
            </m:r>
          </m:e>
          <m:sub>
            <m:r>
              <m:t>t</m:t>
            </m:r>
          </m:sub>
          <m:sup>
            <m:r>
              <m:t>x</m:t>
            </m:r>
          </m:sup>
        </m:sSubSup>
      </m:oMath>
      <w:r>
        <w:t xml:space="preserve"> </w:t>
      </w:r>
      <w:r>
        <w:t xml:space="preserve">is the growth</w:t>
      </w:r>
      <w:r>
        <w:t xml:space="preserve"> </w:t>
      </w:r>
      <w:r>
        <w:t xml:space="preserve">rate of export taxes.</w:t>
      </w:r>
    </w:p>
    <w:bookmarkEnd w:id="33"/>
    <w:bookmarkStart w:id="34" w:name="forest"/>
    <w:p>
      <w:pPr>
        <w:pStyle w:val="Heading3"/>
      </w:pPr>
      <w:r>
        <w:t xml:space="preserve">Forest</w:t>
      </w:r>
    </w:p>
    <w:p>
      <w:pPr>
        <w:pStyle w:val="FirstParagraph"/>
      </w:pPr>
      <w:r>
        <w:t xml:space="preserve">The development of forest area is simulated exogenously using the environmental Kuznets curve (EKC) approach</w:t>
      </w:r>
      <w:r>
        <w:t xml:space="preserve"> </w:t>
      </w:r>
      <w:r>
        <w:t xml:space="preserve">(</w:t>
      </w:r>
      <w:hyperlink w:anchor="ref-Kuznets:1955">
        <w:r>
          <w:rPr>
            <w:rStyle w:val="Hyperlink"/>
            <w:b/>
            <w:bCs/>
          </w:rPr>
          <w:t xml:space="preserve">Kuznets:1955?</w:t>
        </w:r>
      </w:hyperlink>
      <w:r>
        <w:t xml:space="preserve">;</w:t>
      </w:r>
      <w:r>
        <w:t xml:space="preserve"> </w:t>
      </w:r>
      <w:hyperlink w:anchor="ref-Grossmann">
        <w:r>
          <w:rPr>
            <w:rStyle w:val="Hyperlink"/>
            <w:b/>
            <w:bCs/>
          </w:rPr>
          <w:t xml:space="preserve">Grossmann?</w:t>
        </w:r>
      </w:hyperlink>
      <w:r>
        <w:t xml:space="preserve"> </w:t>
      </w:r>
      <w:r>
        <w:t xml:space="preserve">and Krueger:1991)</w:t>
      </w:r>
      <w:r>
        <w:t xml:space="preserve">.</w:t>
      </w:r>
      <w:r>
        <w:t xml:space="preserve"> </w:t>
      </w:r>
      <w:r>
        <w:t xml:space="preserve">This concept describes an inverted U-shaped relationship between income development and deforestation.</w:t>
      </w:r>
      <w:r>
        <w:t xml:space="preserve"> </w:t>
      </w:r>
      <w:r>
        <w:t xml:space="preserve">Initially, as GDP per capita rises, the rate of deforestation increases until it reaches a turning point. Beyond this</w:t>
      </w:r>
      <w:r>
        <w:t xml:space="preserve"> </w:t>
      </w:r>
      <w:r>
        <w:t xml:space="preserve">point, further increases in GDP per capita result in a decreasing rate of deforestation</w:t>
      </w:r>
      <w:r>
        <w:t xml:space="preserve"> </w:t>
      </w:r>
      <w:r>
        <w:t xml:space="preserve">(</w:t>
      </w:r>
      <w:hyperlink w:anchor="ref-Panayotou:1993">
        <w:r>
          <w:rPr>
            <w:rStyle w:val="Hyperlink"/>
          </w:rPr>
          <w:t xml:space="preserve">Panayotou 1993</w:t>
        </w:r>
      </w:hyperlink>
      <w:r>
        <w:t xml:space="preserve">)</w:t>
      </w:r>
      <w:r>
        <w:t xml:space="preserve">. Forest stock growth</w:t>
      </w:r>
      <w:r>
        <w:t xml:space="preserve"> </w:t>
      </w:r>
      <w:r>
        <w:t xml:space="preserve">is linked to the development of the area.</w:t>
      </w:r>
    </w:p>
    <w:p>
      <w:pPr>
        <w:pStyle w:val="BodyText"/>
      </w:pPr>
      <m:oMathPara>
        <m:oMathParaPr>
          <m:jc m:val="center"/>
        </m:oMathParaPr>
        <m:oMath>
          <m:sSub>
            <m:e>
              <m:r>
                <m:t>g</m:t>
              </m:r>
            </m:e>
            <m:sub>
              <m:r>
                <m:t>I</m:t>
              </m:r>
            </m:sub>
          </m:sSub>
          <m:r>
            <m:rPr>
              <m:sty m:val="p"/>
            </m:rPr>
            <m:t>=</m:t>
          </m:r>
          <m:d>
            <m:dPr>
              <m:begChr m:val="("/>
              <m:endChr m:val=")"/>
              <m:sepChr m:val=""/>
              <m:grow/>
            </m:dPr>
            <m:e>
              <m:r>
                <m:t>1</m:t>
              </m:r>
              <m:r>
                <m:rPr>
                  <m:sty m:val="p"/>
                </m:rPr>
                <m:t>+</m:t>
              </m:r>
              <m:sSub>
                <m:e>
                  <m:r>
                    <m:t>γ</m:t>
                  </m:r>
                </m:e>
                <m:sub>
                  <m:r>
                    <m:t>0</m:t>
                  </m:r>
                </m:sub>
              </m:sSub>
              <m:sSup>
                <m:e>
                  <m:d>
                    <m:dPr>
                      <m:begChr m:val="("/>
                      <m:endChr m:val=")"/>
                      <m:sepChr m:val=""/>
                      <m:grow/>
                    </m:dPr>
                    <m:e>
                      <m:f>
                        <m:fPr>
                          <m:type m:val="bar"/>
                        </m:fPr>
                        <m:num>
                          <m:sSub>
                            <m:e>
                              <m:r>
                                <m:t>I</m:t>
                              </m:r>
                            </m:e>
                            <m:sub>
                              <m:r>
                                <m:t>t</m:t>
                              </m:r>
                              <m:r>
                                <m:rPr>
                                  <m:sty m:val="p"/>
                                </m:rPr>
                                <m:t>−</m:t>
                              </m:r>
                              <m:r>
                                <m:t>1</m:t>
                              </m:r>
                            </m:sub>
                          </m:sSub>
                        </m:num>
                        <m:den>
                          <m:sSub>
                            <m:e>
                              <m:r>
                                <m:t>A</m:t>
                              </m:r>
                            </m:e>
                            <m:sub>
                              <m:r>
                                <m:t>t</m:t>
                              </m:r>
                              <m:r>
                                <m:rPr>
                                  <m:sty m:val="p"/>
                                </m:rPr>
                                <m:t>−</m:t>
                              </m:r>
                              <m:r>
                                <m:t>1</m:t>
                              </m:r>
                            </m:sub>
                          </m:sSub>
                        </m:den>
                      </m:f>
                    </m:e>
                  </m:d>
                </m:e>
                <m:sup>
                  <m:r>
                    <m:t>σ</m:t>
                  </m:r>
                </m:sup>
              </m:sSup>
              <m:r>
                <m:rPr>
                  <m:sty m:val="p"/>
                </m:rPr>
                <m:t>+</m:t>
              </m:r>
              <m:d>
                <m:dPr>
                  <m:begChr m:val="("/>
                  <m:endChr m:val=")"/>
                  <m:sepChr m:val=""/>
                  <m:grow/>
                </m:dPr>
                <m:e>
                  <m:sSub>
                    <m:e>
                      <m:r>
                        <m:t>α</m:t>
                      </m:r>
                    </m:e>
                    <m:sub>
                      <m:r>
                        <m:t>0</m:t>
                      </m:r>
                    </m:sub>
                  </m:sSub>
                  <m:r>
                    <m:rPr>
                      <m:sty m:val="p"/>
                    </m:rPr>
                    <m:t>+</m:t>
                  </m:r>
                  <m:sSub>
                    <m:e>
                      <m:r>
                        <m:t>α</m:t>
                      </m:r>
                    </m:e>
                    <m:sub>
                      <m:r>
                        <m:t>1</m:t>
                      </m:r>
                    </m:sub>
                  </m:sSub>
                  <m:sSup>
                    <m:e>
                      <m:r>
                        <m:t>y</m:t>
                      </m:r>
                    </m:e>
                    <m:sup>
                      <m:r>
                        <m:rPr>
                          <m:sty m:val="p"/>
                        </m:rPr>
                        <m:t>′</m:t>
                      </m:r>
                    </m:sup>
                  </m:sSup>
                </m:e>
              </m:d>
              <m:sSup>
                <m:e>
                  <m:r>
                    <m:t>e</m:t>
                  </m:r>
                </m:e>
                <m:sup>
                  <m:sSub>
                    <m:e>
                      <m:r>
                        <m:t>α</m:t>
                      </m:r>
                    </m:e>
                    <m:sub>
                      <m:r>
                        <m:t>2</m:t>
                      </m:r>
                    </m:sub>
                  </m:sSub>
                  <m:sSup>
                    <m:e>
                      <m:r>
                        <m:t>y</m:t>
                      </m:r>
                    </m:e>
                    <m:sup>
                      <m:r>
                        <m:rPr>
                          <m:sty m:val="p"/>
                        </m:rPr>
                        <m:t>′</m:t>
                      </m:r>
                    </m:sup>
                  </m:sSup>
                </m:sup>
              </m:sSup>
            </m:e>
          </m:d>
        </m:oMath>
      </m:oMathPara>
    </w:p>
    <w:p>
      <w:pPr>
        <w:pStyle w:val="FirstParagraph"/>
      </w:pPr>
      <w:r>
        <w:t xml:space="preserve">with</w:t>
      </w:r>
      <w:r>
        <w:t xml:space="preserve"> </w:t>
      </w:r>
      <m:oMath>
        <m:r>
          <m:t>I</m:t>
        </m:r>
      </m:oMath>
      <w:r>
        <w:t xml:space="preserve"> </w:t>
      </w:r>
      <w:r>
        <w:t xml:space="preserve">as forest inventory,</w:t>
      </w:r>
      <w:r>
        <w:t xml:space="preserve"> </w:t>
      </w:r>
      <m:oMath>
        <m:r>
          <m:t>A</m:t>
        </m:r>
      </m:oMath>
      <w:r>
        <w:t xml:space="preserve"> </w:t>
      </w:r>
      <w:r>
        <w:t xml:space="preserve">as forest area,</w:t>
      </w:r>
      <w:r>
        <w:t xml:space="preserve"> </w:t>
      </w:r>
      <m:oMath>
        <m:r>
          <m:t>σ</m:t>
        </m:r>
      </m:oMath>
      <w:r>
        <w:t xml:space="preserve"> </w:t>
      </w:r>
      <w:r>
        <w:t xml:space="preserve">as elasticity of inventory per unit area,</w:t>
      </w:r>
      <w:r>
        <w:t xml:space="preserve"> </w:t>
      </w:r>
      <m:oMath>
        <m:sSup>
          <m:e>
            <m:r>
              <m:t>y</m:t>
            </m:r>
          </m:e>
          <m:sup>
            <m:r>
              <m:rPr>
                <m:sty m:val="p"/>
              </m:rPr>
              <m:t>′</m:t>
            </m:r>
          </m:sup>
        </m:sSup>
      </m:oMath>
      <w:r>
        <w:t xml:space="preserve"> </w:t>
      </w:r>
      <w:r>
        <w:t xml:space="preserve">as per capita</w:t>
      </w:r>
      <w:r>
        <w:t xml:space="preserve"> </w:t>
      </w:r>
      <w:r>
        <w:t xml:space="preserve">income and</w:t>
      </w:r>
      <w:r>
        <w:t xml:space="preserve"> </w:t>
      </w:r>
      <m:oMath>
        <m:r>
          <m:t>γ</m:t>
        </m:r>
      </m:oMath>
      <w:r>
        <w:t xml:space="preserve"> </w:t>
      </w:r>
      <w:r>
        <w:t xml:space="preserve">and</w:t>
      </w:r>
      <w:r>
        <w:t xml:space="preserve"> </w:t>
      </w:r>
      <m:oMath>
        <m:r>
          <m:t>α</m:t>
        </m:r>
      </m:oMath>
      <w:r>
        <w:t xml:space="preserve"> </w:t>
      </w:r>
      <w:r>
        <w:t xml:space="preserve">as exogenous parameters to shift the growth rates.</w:t>
      </w:r>
    </w:p>
    <w:p>
      <w:pPr>
        <w:pStyle w:val="BodyText"/>
      </w:pPr>
      <w:r>
        <w:t xml:space="preserve">Forest stock evolves over time to a growth-drain equation following</w:t>
      </w:r>
      <w:r>
        <w:t xml:space="preserve"> </w:t>
      </w:r>
      <w:r>
        <w:t xml:space="preserve">Buongiorno (</w:t>
      </w:r>
      <w:hyperlink w:anchor="ref-Buongiorno:2015">
        <w:r>
          <w:rPr>
            <w:rStyle w:val="Hyperlink"/>
          </w:rPr>
          <w:t xml:space="preserve">2015</w:t>
        </w:r>
      </w:hyperlink>
      <w:r>
        <w:t xml:space="preserve">)</w:t>
      </w:r>
      <w:r>
        <w:t xml:space="preserve">:</w:t>
      </w:r>
    </w:p>
    <w:p>
      <w:pPr>
        <w:pStyle w:val="BodyText"/>
      </w:pPr>
      <m:oMathPara>
        <m:oMathParaPr>
          <m:jc m:val="center"/>
        </m:oMathParaPr>
        <m:oMath>
          <m:sSub>
            <m:e>
              <m:r>
                <m:t>I</m:t>
              </m:r>
            </m:e>
            <m:sub>
              <m:r>
                <m:t>t</m:t>
              </m:r>
            </m:sub>
          </m:sSub>
          <m:r>
            <m:rPr>
              <m:sty m:val="p"/>
            </m:rPr>
            <m:t>=</m:t>
          </m:r>
          <m:d>
            <m:dPr>
              <m:begChr m:val="("/>
              <m:endChr m:val=")"/>
              <m:sepChr m:val=""/>
              <m:grow/>
            </m:dPr>
            <m:e>
              <m:sSub>
                <m:e>
                  <m:r>
                    <m:t>I</m:t>
                  </m:r>
                </m:e>
                <m:sub>
                  <m:r>
                    <m:rPr>
                      <m:sty m:val="p"/>
                    </m:rPr>
                    <m:t>−</m:t>
                  </m:r>
                  <m:r>
                    <m:t>1</m:t>
                  </m:r>
                </m:sub>
              </m:sSub>
              <m:r>
                <m:rPr>
                  <m:sty m:val="p"/>
                </m:rPr>
                <m:t>+</m:t>
              </m:r>
              <m:d>
                <m:dPr>
                  <m:begChr m:val="("/>
                  <m:endChr m:val=")"/>
                  <m:sepChr m:val=""/>
                  <m:grow/>
                </m:dPr>
                <m:e>
                  <m:sSub>
                    <m:e>
                      <m:r>
                        <m:t>g</m:t>
                      </m:r>
                    </m:e>
                    <m:sub>
                      <m:r>
                        <m:t>a</m:t>
                      </m:r>
                    </m:sub>
                  </m:sSub>
                  <m:r>
                    <m:rPr>
                      <m:sty m:val="p"/>
                    </m:rPr>
                    <m:t>+</m:t>
                  </m:r>
                  <m:sSub>
                    <m:e>
                      <m:r>
                        <m:t>g</m:t>
                      </m:r>
                    </m:e>
                    <m:sub>
                      <m:r>
                        <m:t>u</m:t>
                      </m:r>
                    </m:sub>
                  </m:sSub>
                  <m:r>
                    <m:rPr>
                      <m:sty m:val="p"/>
                    </m:rPr>
                    <m:t>+</m:t>
                  </m:r>
                  <m:sSubSup>
                    <m:e>
                      <m:r>
                        <m:t>g</m:t>
                      </m:r>
                    </m:e>
                    <m:sub>
                      <m:r>
                        <m:t>u</m:t>
                      </m:r>
                    </m:sub>
                    <m:sup>
                      <m:r>
                        <m:rPr>
                          <m:sty m:val="p"/>
                        </m:rPr>
                        <m:t>*</m:t>
                      </m:r>
                    </m:sup>
                  </m:sSubSup>
                </m:e>
              </m:d>
              <m:sSub>
                <m:e>
                  <m:r>
                    <m:t>I</m:t>
                  </m:r>
                </m:e>
                <m:sub>
                  <m:r>
                    <m:rPr>
                      <m:sty m:val="p"/>
                    </m:rPr>
                    <m:t>−</m:t>
                  </m:r>
                  <m:r>
                    <m:t>1</m:t>
                  </m:r>
                </m:sub>
              </m:sSub>
            </m:e>
          </m:d>
          <m:r>
            <m:rPr>
              <m:sty m:val="p"/>
            </m:rPr>
            <m:t>−</m:t>
          </m:r>
          <m:r>
            <m:t>p</m:t>
          </m:r>
          <m:sSub>
            <m:e>
              <m:r>
                <m:t>S</m:t>
              </m:r>
            </m:e>
            <m:sub>
              <m:r>
                <m:rPr>
                  <m:sty m:val="p"/>
                </m:rPr>
                <m:t>−</m:t>
              </m:r>
              <m:r>
                <m:t>1</m:t>
              </m:r>
            </m:sub>
          </m:sSub>
        </m:oMath>
      </m:oMathPara>
    </w:p>
    <w:p>
      <w:pPr>
        <w:pStyle w:val="FirstParagraph"/>
      </w:pPr>
      <w:r>
        <w:t xml:space="preserve">where g_a is annual rate of change of forest area, g_u is periodic rate of forest growth,</w:t>
      </w:r>
      <w:r>
        <w:t xml:space="preserve"> </w:t>
      </w:r>
      <w:r>
        <w:t xml:space="preserve">g_u^* is the adjustment rate of forest growth and</w:t>
      </w:r>
      <w:r>
        <w:t xml:space="preserve"> </w:t>
      </w:r>
      <m:oMath>
        <m:r>
          <m:t>p</m:t>
        </m:r>
        <m:sSub>
          <m:e>
            <m:r>
              <m:t>S</m:t>
            </m:r>
          </m:e>
          <m:sub>
            <m:r>
              <m:rPr>
                <m:sty m:val="p"/>
              </m:rPr>
              <m:t>−</m:t>
            </m:r>
            <m:r>
              <m:t>1</m:t>
            </m:r>
          </m:sub>
        </m:sSub>
      </m:oMath>
      <w:r>
        <w:t xml:space="preserve"> </w:t>
      </w:r>
      <w:r>
        <w:t xml:space="preserve">is harvest of previous period .</w:t>
      </w:r>
    </w:p>
    <w:p>
      <w:pPr>
        <w:pStyle w:val="BodyText"/>
      </w:pPr>
      <w:r>
        <w:t xml:space="preserve">All necessary data is provided in the supplied input file. The CO2 price cannot be adjusted in the base version of TiMBA.</w:t>
      </w:r>
      <w:r>
        <w:t xml:space="preserve"> </w:t>
      </w:r>
      <w:r>
        <w:t xml:space="preserve">A separate extension will be provided for this purpose.</w:t>
      </w:r>
    </w:p>
    <w:bookmarkEnd w:id="34"/>
    <w:bookmarkEnd w:id="35"/>
    <w:bookmarkStart w:id="36" w:name="countries-and-products"/>
    <w:p>
      <w:pPr>
        <w:pStyle w:val="Heading2"/>
      </w:pPr>
      <w:r>
        <w:t xml:space="preserve">Countries and Products</w:t>
      </w:r>
    </w:p>
    <w:p>
      <w:pPr>
        <w:pStyle w:val="FirstParagraph"/>
      </w:pPr>
      <w:r>
        <w:t xml:space="preserve">For each of the 180 countries considered in the model, TiMBA includes three main sectors along the forest-based value chain:</w:t>
      </w:r>
      <w:r>
        <w:t xml:space="preserve"> </w:t>
      </w:r>
      <w:r>
        <w:t xml:space="preserve">the forestry sector, the wood-processing based industries and the consumers of forest-based products. The forestry sector</w:t>
      </w:r>
      <w:r>
        <w:t xml:space="preserve"> </w:t>
      </w:r>
      <w:r>
        <w:t xml:space="preserve">provides the forest resources to supply fuelwood as well as coniferous, non-coniferous and other industrial roundwood.</w:t>
      </w:r>
      <w:r>
        <w:t xml:space="preserve"> </w:t>
      </w:r>
      <w:r>
        <w:t xml:space="preserve">Forest industries then transform coniferous and non-coniferous industrial roundwood into intermediate and end products</w:t>
      </w:r>
      <w:r>
        <w:t xml:space="preserve"> </w:t>
      </w:r>
      <w:r>
        <w:t xml:space="preserve">which are either used as input for, e.g., paper production or demanded by consumer markets.</w:t>
      </w:r>
    </w:p>
    <w:p>
      <w:pPr>
        <w:pStyle w:val="BodyText"/>
      </w:pPr>
      <w:r>
        <w:t xml:space="preserve">Beyond four types of roundwood, the product structure in TiMBA further distinguishes coniferous and non-coniferous sawnwood,</w:t>
      </w:r>
      <w:r>
        <w:t xml:space="preserve"> </w:t>
      </w:r>
      <w:r>
        <w:t xml:space="preserve">plywood and veneer sheets, particle board including OSB, fibre board, newsprint, printing and writing paper and other paper</w:t>
      </w:r>
      <w:r>
        <w:t xml:space="preserve"> </w:t>
      </w:r>
      <w:r>
        <w:t xml:space="preserve">and paper board as end products as well as mechanical and chemical pulp (including semi-chemical pulp) as intermediate and</w:t>
      </w:r>
      <w:r>
        <w:t xml:space="preserve"> </w:t>
      </w:r>
      <w:r>
        <w:t xml:space="preserve">other fibre pulps and waste paper as additional raw materials. For these products TiMBA simulates the production, import,</w:t>
      </w:r>
      <w:r>
        <w:t xml:space="preserve"> </w:t>
      </w:r>
      <w:r>
        <w:t xml:space="preserve">export, consumption and prices for each year and country. As shown in table x, not every product is subject to trade,</w:t>
      </w:r>
      <w:r>
        <w:t xml:space="preserve"> </w:t>
      </w:r>
      <w:r>
        <w:t xml:space="preserve">manufacturing or consumer demand.</w:t>
      </w:r>
    </w:p>
    <w:bookmarkEnd w:id="36"/>
    <w:bookmarkStart w:id="43" w:name="input-data-and-parameter"/>
    <w:p>
      <w:pPr>
        <w:pStyle w:val="Heading2"/>
      </w:pPr>
      <w:r>
        <w:t xml:space="preserve">Input Data and Parameter</w:t>
      </w:r>
    </w:p>
    <w:p>
      <w:pPr>
        <w:pStyle w:val="FirstParagraph"/>
      </w:pPr>
      <w:r>
        <w:t xml:space="preserve">TiMBA uses input data and parameter from various sources. Input data for TiMBA are subject to a goal-programming based</w:t>
      </w:r>
      <w:r>
        <w:t xml:space="preserve"> </w:t>
      </w:r>
      <w:r>
        <w:t xml:space="preserve">calibration procedure tackling data inconsistencies and determining initial input-output coefficients as well as manufacturing</w:t>
      </w:r>
      <w:r>
        <w:t xml:space="preserve"> </w:t>
      </w:r>
      <w:r>
        <w:t xml:space="preserve">cost along the wood-based value adding chain. The model calibration for TiMBA follows the procedure as formally described in</w:t>
      </w:r>
      <w:r>
        <w:t xml:space="preserve"> </w:t>
      </w:r>
      <w:r>
        <w:t xml:space="preserve">Buongiorno (</w:t>
      </w:r>
      <w:hyperlink w:anchor="ref-Buongiorno:2015">
        <w:r>
          <w:rPr>
            <w:rStyle w:val="Hyperlink"/>
          </w:rPr>
          <w:t xml:space="preserve">2015</w:t>
        </w:r>
      </w:hyperlink>
      <w:r>
        <w:t xml:space="preserve">)</w:t>
      </w:r>
      <w:r>
        <w:t xml:space="preserve"> </w:t>
      </w:r>
      <w:r>
        <w:t xml:space="preserve">and modified by</w:t>
      </w:r>
      <w:r>
        <w:t xml:space="preserve"> </w:t>
      </w:r>
      <w:r>
        <w:t xml:space="preserve">(</w:t>
      </w:r>
      <w:hyperlink w:anchor="ref-Schier:2018">
        <w:r>
          <w:rPr>
            <w:rStyle w:val="Hyperlink"/>
            <w:b/>
            <w:bCs/>
          </w:rPr>
          <w:t xml:space="preserve">Schier:2018?</w:t>
        </w:r>
      </w:hyperlink>
      <w:r>
        <w:t xml:space="preserve">)</w:t>
      </w:r>
      <w:r>
        <w:t xml:space="preserve">. Currently, the calibration procedure is not included int the TiMBA</w:t>
      </w:r>
      <w:r>
        <w:t xml:space="preserve"> </w:t>
      </w:r>
      <w:r>
        <w:t xml:space="preserve">package. The calibrated data are provided in form of an Excel sheet as input for simulations together with the model under</w:t>
      </w:r>
      <w:r>
        <w:t xml:space="preserve"> </w:t>
      </w:r>
      <w:r>
        <w:t xml:space="preserve">https://github.com/TI-Forest-Sector-Modelling/TiMBA</w:t>
      </w:r>
    </w:p>
    <w:bookmarkStart w:id="37" w:name="overview-on-input-data"/>
    <w:p>
      <w:pPr>
        <w:pStyle w:val="Heading3"/>
      </w:pPr>
      <w:r>
        <w:t xml:space="preserve">Overview on Input Data</w:t>
      </w:r>
    </w:p>
    <w:p>
      <w:pPr>
        <w:pStyle w:val="FirstParagraph"/>
      </w:pPr>
      <w:r>
        <w:t xml:space="preserve">Data on country-specific production and trade volumes of raw, intermediate, and end products are taken from FAOSTAT.</w:t>
      </w:r>
      <w:r>
        <w:t xml:space="preserve"> </w:t>
      </w:r>
      <w:r>
        <w:t xml:space="preserve">Product consumption for the base year is then calculated as production + imports – exports. Further, data on country-specific</w:t>
      </w:r>
      <w:r>
        <w:t xml:space="preserve"> </w:t>
      </w:r>
      <w:r>
        <w:t xml:space="preserve">export values are used to compute the unit product prices in the base year as the total export volume divided by total</w:t>
      </w:r>
      <w:r>
        <w:t xml:space="preserve"> </w:t>
      </w:r>
      <w:r>
        <w:t xml:space="preserve">export quantity stated in constant US $ of 2018 using the GDP deflator from the World Development Indicators database</w:t>
      </w:r>
      <w:r>
        <w:t xml:space="preserve"> </w:t>
      </w:r>
      <w:r>
        <w:t xml:space="preserve">(Code NY.GDP.DEFL.ZS). Unit prices differ for net-importer and net-exporter countries. The unit price of net-importers</w:t>
      </w:r>
      <w:r>
        <w:t xml:space="preserve"> </w:t>
      </w:r>
      <w:r>
        <w:t xml:space="preserve">of a given commodity is the export unit price plus commodity specific freight costs and tariffs.</w:t>
      </w:r>
    </w:p>
    <w:p>
      <w:pPr>
        <w:pStyle w:val="BodyText"/>
      </w:pPr>
      <w:r>
        <w:t xml:space="preserve">Data on GDP and population are derived from the World Development database (Worldbank xxx) under the indicator names</w:t>
      </w:r>
      <w:r>
        <w:t xml:space="preserve"> </w:t>
      </w:r>
      <w:r>
        <w:t xml:space="preserve">“GDP (current US$)”</w:t>
      </w:r>
      <w:r>
        <w:t xml:space="preserve"> </w:t>
      </w:r>
      <w:r>
        <w:t xml:space="preserve">and</w:t>
      </w:r>
      <w:r>
        <w:t xml:space="preserve"> </w:t>
      </w:r>
      <w:r>
        <w:t xml:space="preserve">“Population, total”</w:t>
      </w:r>
      <w:r>
        <w:t xml:space="preserve"> </w:t>
      </w:r>
      <w:r>
        <w:t xml:space="preserve">specified by the codes NY.GDP.MKTP.CD and SP.POP.TOTL, respectively.</w:t>
      </w:r>
    </w:p>
    <w:p>
      <w:pPr>
        <w:pStyle w:val="BodyText"/>
      </w:pPr>
      <w:r>
        <w:t xml:space="preserve">Tariffs are derived from WTO Integrated Database (IDB) notifications as average of ad valorem duties for the last current</w:t>
      </w:r>
      <w:r>
        <w:t xml:space="preserve"> </w:t>
      </w:r>
      <w:r>
        <w:t xml:space="preserve">year available of the respective reporter country and product on HS-code level 4 – 6. Freight cost are calculated as</w:t>
      </w:r>
      <w:r>
        <w:t xml:space="preserve"> </w:t>
      </w:r>
      <w:r>
        <w:t xml:space="preserve">freight factor times export unit value. Freight factors are taken from the Forest Sector Model GFPM</w:t>
      </w:r>
      <w:r>
        <w:t xml:space="preserve"> </w:t>
      </w:r>
      <w:r>
        <w:t xml:space="preserve">(</w:t>
      </w:r>
      <w:hyperlink w:anchor="ref-Buongiorno:2003">
        <w:r>
          <w:rPr>
            <w:rStyle w:val="Hyperlink"/>
          </w:rPr>
          <w:t xml:space="preserve">Buongiorno et al. 2003</w:t>
        </w:r>
      </w:hyperlink>
      <w:r>
        <w:t xml:space="preserve">)</w:t>
      </w:r>
      <w:r>
        <w:t xml:space="preserve"> </w:t>
      </w:r>
      <w:r>
        <w:t xml:space="preserve">(see Table A1),</w:t>
      </w:r>
      <w:r>
        <w:t xml:space="preserve"> </w:t>
      </w:r>
      <w:r>
        <w:t xml:space="preserve">GFPM-base2021 (https://onedrive.live.com/?authkey=%21AEF7RY7oAPlrDPk&amp;id=93BC28B749A1DFB6%2117056&amp;cid=93BC28B749A1DFB6)</w:t>
      </w:r>
    </w:p>
    <w:p>
      <w:pPr>
        <w:pStyle w:val="BodyText"/>
      </w:pPr>
      <w:r>
        <w:t xml:space="preserve">Data on national Forest Area and Growing Stock on Total Forest Area (in the following Forest Stock) are taken from the</w:t>
      </w:r>
      <w:r>
        <w:t xml:space="preserve"> </w:t>
      </w:r>
      <w:r>
        <w:t xml:space="preserve">FAO Forest Resources Assessment 2020. In case that data on Forest Stock had not been reported in 2020, data were complemented</w:t>
      </w:r>
      <w:r>
        <w:t xml:space="preserve"> </w:t>
      </w:r>
      <w:r>
        <w:t xml:space="preserve">by the authors either by (i) searching for the last available record on Forest Area, (ii) using data on growing stock on</w:t>
      </w:r>
      <w:r>
        <w:t xml:space="preserve"> </w:t>
      </w:r>
      <w:r>
        <w:t xml:space="preserve">naturally regenerated and/or planted forest area or (iii) calculate the Forest Stock from biomass stock data. If none of</w:t>
      </w:r>
      <w:r>
        <w:t xml:space="preserve"> </w:t>
      </w:r>
      <w:r>
        <w:t xml:space="preserve">these information were given, the authors use the entries on living woody biomass density from GlobalForestWatch2000 to</w:t>
      </w:r>
      <w:r>
        <w:t xml:space="preserve"> </w:t>
      </w:r>
      <w:r>
        <w:t xml:space="preserve">derive the Forest Stock of a given country. When the national forest area was reported to be &gt; 1, growing stock on total</w:t>
      </w:r>
      <w:r>
        <w:t xml:space="preserve"> </w:t>
      </w:r>
      <w:r>
        <w:t xml:space="preserve">forest area was required to be at least 1.</w:t>
      </w:r>
    </w:p>
    <w:bookmarkEnd w:id="37"/>
    <w:bookmarkStart w:id="41" w:name="overview-on-parameters"/>
    <w:p>
      <w:pPr>
        <w:pStyle w:val="Heading3"/>
      </w:pPr>
      <w:r>
        <w:t xml:space="preserve">Overview on Parameters</w:t>
      </w:r>
    </w:p>
    <w:p>
      <w:pPr>
        <w:pStyle w:val="FirstParagraph"/>
      </w:pPr>
      <w:r>
        <w:t xml:space="preserve">Wood products consumption is tied to the product price and income (GDP). These relations are represented by elasticities</w:t>
      </w:r>
      <w:r>
        <w:t xml:space="preserve"> </w:t>
      </w:r>
      <w:r>
        <w:t xml:space="preserve">of demand. Wood production is driven by prices of raw materials as well as the forest stock density of a country and</w:t>
      </w:r>
      <w:r>
        <w:t xml:space="preserve"> </w:t>
      </w:r>
      <w:r>
        <w:t xml:space="preserve">represented by respective elasticities. It is assumed that wood supply equals wood removals from the forest. Supply of</w:t>
      </w:r>
      <w:r>
        <w:t xml:space="preserve"> </w:t>
      </w:r>
      <w:r>
        <w:t xml:space="preserve">wastepaper and other fibre pulp depends on product prices and national income (GDP). All elasticities are summarized in</w:t>
      </w:r>
      <w:r>
        <w:t xml:space="preserve"> </w:t>
      </w:r>
      <w:r>
        <w:t xml:space="preserve">table xx.</w:t>
      </w:r>
    </w:p>
    <w:p>
      <w:pPr>
        <w:pStyle w:val="BodyText"/>
      </w:pPr>
      <w:r>
        <w:t xml:space="preserve">Manufacturing of intermediate and end products is determined using country and product-specific input-output coefficients</w:t>
      </w:r>
      <w:r>
        <w:t xml:space="preserve"> </w:t>
      </w:r>
      <w:r>
        <w:t xml:space="preserve">and manufacturing cost. Manufacturing cost of each product represent all cost of inputs not explicitly modeled in TiMBA</w:t>
      </w:r>
      <w:r>
        <w:t xml:space="preserve"> </w:t>
      </w:r>
      <w:r>
        <w:t xml:space="preserve">(labor, energy, capital, additional materials) excluding cost of raw materials in a given year and country. The input-output</w:t>
      </w:r>
      <w:r>
        <w:t xml:space="preserve"> </w:t>
      </w:r>
      <w:r>
        <w:t xml:space="preserve">coefficient of each product in a year and country states the amount of input going into one output. These parameters are</w:t>
      </w:r>
      <w:r>
        <w:t xml:space="preserve"> </w:t>
      </w:r>
      <w:r>
        <w:t xml:space="preserve">determined for each country and product during the model calibration (see above) and depend on production and trade data</w:t>
      </w:r>
      <w:r>
        <w:t xml:space="preserve"> </w:t>
      </w:r>
      <w:r>
        <w:t xml:space="preserve">from FAOSTAT and fixed bounds on minimum and maximum input per output and cost.</w:t>
      </w:r>
    </w:p>
    <w:p>
      <w:pPr>
        <w:pStyle w:val="BodyText"/>
      </w:pPr>
      <w:r>
        <w:t xml:space="preserve">Forest stock growth without harvest is negatively correlated to forest density as described by the elasticity of -0.45</w:t>
      </w:r>
      <w:r>
        <w:t xml:space="preserve"> </w:t>
      </w:r>
      <w:r>
        <w:t xml:space="preserve">(</w:t>
      </w:r>
      <w:hyperlink w:anchor="ref-Buongiorno:2015">
        <w:r>
          <w:rPr>
            <w:rStyle w:val="Hyperlink"/>
          </w:rPr>
          <w:t xml:space="preserve">Buongiorno 2015</w:t>
        </w:r>
      </w:hyperlink>
      <w:r>
        <w:t xml:space="preserve">)</w:t>
      </w:r>
      <w:r>
        <w:t xml:space="preserve">. Via an environmental Kuznets curve the rate of forest area change is linked to the GDP per capita.</w:t>
      </w:r>
      <w:r>
        <w:t xml:space="preserve"> </w:t>
      </w:r>
      <w:r>
        <w:t xml:space="preserve">The effects of GDP per capita and squared GDP per capita on the forest area annual growth rates are again taken from</w:t>
      </w:r>
      <w:r>
        <w:t xml:space="preserve"> </w:t>
      </w:r>
      <w:r>
        <w:t xml:space="preserve">Buongiorno (</w:t>
      </w:r>
      <w:hyperlink w:anchor="ref-Buongiorno:2015">
        <w:r>
          <w:rPr>
            <w:rStyle w:val="Hyperlink"/>
          </w:rPr>
          <w:t xml:space="preserve">2015</w:t>
        </w:r>
      </w:hyperlink>
      <w:r>
        <w:t xml:space="preserve">)</w:t>
      </w:r>
      <w:r>
        <w:t xml:space="preserve"> </w:t>
      </w:r>
      <w:r>
        <w:t xml:space="preserve">who estimated the coefficients to be 0.0014 and 0.0898 (see equation xx), respectively.</w:t>
      </w:r>
      <w:r>
        <w:t xml:space="preserve"> </w:t>
      </w:r>
      <w:r>
        <w:t xml:space="preserve">The ratio of wood drain from the forest to harvest is set to be 1.2 expressing that 20% of the above ground biomass is</w:t>
      </w:r>
      <w:r>
        <w:t xml:space="preserve"> </w:t>
      </w:r>
      <w:r>
        <w:t xml:space="preserve">left after harvesting as logging residues while 80% is supplied as roundwood.</w:t>
      </w:r>
    </w:p>
    <w:p>
      <w:pPr>
        <w:pStyle w:val="BodyText"/>
      </w:pPr>
      <w:r>
        <w:t xml:space="preserve">For lack of data, some of the parameters had to be set intuitively, based mostly on the dynamic behavior of the model.</w:t>
      </w:r>
    </w:p>
    <w:p>
      <w:pPr>
        <w:pStyle w:val="BodyText"/>
      </w:pPr>
      <w:r>
        <w:rPr>
          <w:b/>
          <w:bCs/>
        </w:rPr>
        <w:t xml:space="preserve">Table 2:</w:t>
      </w:r>
      <w:r>
        <w:t xml:space="preserve"> </w:t>
      </w:r>
      <w:r>
        <w:t xml:space="preserve">Items simulated with TiMBA. Product definitions according to FAOSTAT and FAO Forest resources assessment (Quellen)</w:t>
      </w:r>
    </w:p>
    <w:tbl>
      <w:tblPr>
        <w:tblStyle w:val="Table"/>
        <w:tblW w:type="pct" w:w="5000"/>
        <w:tblLayout w:type="fixed"/>
        <w:tblLook w:firstRow="1" w:lastRow="0" w:firstColumn="0" w:lastColumn="0" w:noHBand="0" w:noVBand="0" w:val="0020"/>
      </w:tblPr>
      <w:tblGrid>
        <w:gridCol w:w="2195"/>
        <w:gridCol w:w="862"/>
        <w:gridCol w:w="940"/>
        <w:gridCol w:w="627"/>
        <w:gridCol w:w="940"/>
        <w:gridCol w:w="627"/>
        <w:gridCol w:w="548"/>
        <w:gridCol w:w="548"/>
        <w:gridCol w:w="627"/>
      </w:tblGrid>
      <w:tr>
        <w:trPr>
          <w:tblHeader w:val="on"/>
        </w:trPr>
        <w:tc>
          <w:tcPr/>
          <w:p>
            <w:pPr>
              <w:pStyle w:val="Compact"/>
              <w:jc w:val="left"/>
            </w:pPr>
            <w:r>
              <w:t xml:space="preserve">Item</w:t>
            </w:r>
          </w:p>
        </w:tc>
        <w:tc>
          <w:tcPr/>
          <w:p>
            <w:pPr>
              <w:pStyle w:val="Compact"/>
              <w:jc w:val="center"/>
            </w:pPr>
            <w:r>
              <w:t xml:space="preserve">Item Code</w:t>
            </w:r>
          </w:p>
        </w:tc>
        <w:tc>
          <w:tcPr/>
          <w:p>
            <w:pPr>
              <w:pStyle w:val="Compact"/>
              <w:jc w:val="center"/>
            </w:pPr>
            <w:r>
              <w:t xml:space="preserve">Unit</w:t>
            </w:r>
          </w:p>
        </w:tc>
        <w:tc>
          <w:tcPr/>
          <w:p>
            <w:pPr>
              <w:pStyle w:val="Compact"/>
              <w:jc w:val="center"/>
            </w:pPr>
            <w:r>
              <w:t xml:space="preserve">Supply</w:t>
            </w:r>
          </w:p>
        </w:tc>
        <w:tc>
          <w:tcPr/>
          <w:p>
            <w:pPr>
              <w:pStyle w:val="Compact"/>
              <w:jc w:val="center"/>
            </w:pPr>
            <w:r>
              <w:t xml:space="preserve">Production</w:t>
            </w:r>
          </w:p>
        </w:tc>
        <w:tc>
          <w:tcPr/>
          <w:p>
            <w:pPr>
              <w:pStyle w:val="Compact"/>
              <w:jc w:val="center"/>
            </w:pPr>
            <w:r>
              <w:t xml:space="preserve">Demand</w:t>
            </w:r>
          </w:p>
        </w:tc>
        <w:tc>
          <w:tcPr/>
          <w:p>
            <w:pPr>
              <w:pStyle w:val="Compact"/>
              <w:jc w:val="center"/>
            </w:pPr>
            <w:r>
              <w:t xml:space="preserve">Trade</w:t>
            </w:r>
          </w:p>
        </w:tc>
        <w:tc>
          <w:tcPr/>
          <w:p>
            <w:pPr>
              <w:pStyle w:val="Compact"/>
              <w:jc w:val="center"/>
            </w:pPr>
            <w:r>
              <w:t xml:space="preserve">Price</w:t>
            </w:r>
          </w:p>
        </w:tc>
        <w:tc>
          <w:tcPr/>
          <w:p>
            <w:pPr>
              <w:pStyle w:val="Compact"/>
              <w:jc w:val="center"/>
            </w:pPr>
            <w:r>
              <w:t xml:space="preserve">Growth</w:t>
            </w:r>
          </w:p>
        </w:tc>
      </w:tr>
      <w:tr>
        <w:tc>
          <w:tcPr/>
          <w:p>
            <w:pPr>
              <w:pStyle w:val="Compact"/>
              <w:jc w:val="left"/>
            </w:pPr>
            <w:r>
              <w:t xml:space="preserve">Fuelwood</w:t>
            </w:r>
          </w:p>
        </w:tc>
        <w:tc>
          <w:tcPr/>
          <w:p>
            <w:pPr>
              <w:pStyle w:val="Compact"/>
              <w:jc w:val="center"/>
            </w:pPr>
            <w:r>
              <w:t xml:space="preserve">80</w:t>
            </w:r>
          </w:p>
        </w:tc>
        <w:tc>
          <w:tcPr/>
          <w:p>
            <w:pPr>
              <w:pStyle w:val="Compact"/>
              <w:jc w:val="center"/>
            </w:pPr>
            <w:r>
              <w:t xml:space="preserve">1000 m³</w:t>
            </w:r>
          </w:p>
        </w:tc>
        <w:tc>
          <w:tcPr/>
          <w:p>
            <w:pPr>
              <w:pStyle w:val="Compact"/>
              <w:jc w:val="center"/>
            </w:pPr>
            <w:r>
              <w:t xml:space="preserve">x</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Industrial Roundwood C</w:t>
            </w:r>
          </w:p>
        </w:tc>
        <w:tc>
          <w:tcPr/>
          <w:p>
            <w:pPr>
              <w:pStyle w:val="Compact"/>
              <w:jc w:val="center"/>
            </w:pPr>
            <w:r>
              <w:t xml:space="preserve">81</w:t>
            </w:r>
          </w:p>
        </w:tc>
        <w:tc>
          <w:tcPr/>
          <w:p>
            <w:pPr>
              <w:pStyle w:val="Compact"/>
              <w:jc w:val="center"/>
            </w:pPr>
            <w:r>
              <w:t xml:space="preserve">1000 m³</w:t>
            </w:r>
          </w:p>
        </w:tc>
        <w:tc>
          <w:tcPr/>
          <w:p>
            <w:pPr>
              <w:pStyle w:val="Compact"/>
              <w:jc w:val="center"/>
            </w:pPr>
            <w:r>
              <w:t xml:space="preserve">x</w:t>
            </w:r>
          </w:p>
        </w:tc>
        <w:tc>
          <w:tcPr/>
          <w:p>
            <w:pPr>
              <w:pStyle w:val="Compact"/>
            </w:pP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Industrial Roundwood NC</w:t>
            </w:r>
          </w:p>
        </w:tc>
        <w:tc>
          <w:tcPr/>
          <w:p>
            <w:pPr>
              <w:pStyle w:val="Compact"/>
              <w:jc w:val="center"/>
            </w:pPr>
            <w:r>
              <w:t xml:space="preserve">78</w:t>
            </w:r>
          </w:p>
        </w:tc>
        <w:tc>
          <w:tcPr/>
          <w:p>
            <w:pPr>
              <w:pStyle w:val="Compact"/>
              <w:jc w:val="center"/>
            </w:pPr>
            <w:r>
              <w:t xml:space="preserve">1000 m³</w:t>
            </w:r>
          </w:p>
        </w:tc>
        <w:tc>
          <w:tcPr/>
          <w:p>
            <w:pPr>
              <w:pStyle w:val="Compact"/>
              <w:jc w:val="center"/>
            </w:pPr>
            <w:r>
              <w:t xml:space="preserve">x</w:t>
            </w:r>
          </w:p>
        </w:tc>
        <w:tc>
          <w:tcPr/>
          <w:p>
            <w:pPr>
              <w:pStyle w:val="Compact"/>
            </w:pP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Oth Industrial Roundwood</w:t>
            </w:r>
          </w:p>
        </w:tc>
        <w:tc>
          <w:tcPr/>
          <w:p>
            <w:pPr>
              <w:pStyle w:val="Compact"/>
              <w:jc w:val="center"/>
            </w:pPr>
            <w:r>
              <w:t xml:space="preserve">82</w:t>
            </w:r>
          </w:p>
        </w:tc>
        <w:tc>
          <w:tcPr/>
          <w:p>
            <w:pPr>
              <w:pStyle w:val="Compact"/>
              <w:jc w:val="center"/>
            </w:pPr>
            <w:r>
              <w:t xml:space="preserve">1000 m³</w:t>
            </w:r>
          </w:p>
        </w:tc>
        <w:tc>
          <w:tcPr/>
          <w:p>
            <w:pPr>
              <w:pStyle w:val="Compact"/>
              <w:jc w:val="center"/>
            </w:pPr>
            <w:r>
              <w:t xml:space="preserve">x</w:t>
            </w:r>
          </w:p>
        </w:tc>
        <w:tc>
          <w:tcPr/>
          <w:p>
            <w:pPr>
              <w:pStyle w:val="Compact"/>
            </w:pPr>
          </w:p>
        </w:tc>
        <w:tc>
          <w:tcPr/>
          <w:p>
            <w:pPr>
              <w:pStyle w:val="Compact"/>
              <w:jc w:val="center"/>
            </w:pPr>
            <w:r>
              <w:t xml:space="preserve">x</w:t>
            </w:r>
          </w:p>
        </w:tc>
        <w:tc>
          <w:tcPr/>
          <w:p>
            <w:pPr>
              <w:pStyle w:val="Compact"/>
            </w:pPr>
          </w:p>
        </w:tc>
        <w:tc>
          <w:tcPr/>
          <w:p>
            <w:pPr>
              <w:pStyle w:val="Compact"/>
            </w:pPr>
          </w:p>
        </w:tc>
        <w:tc>
          <w:tcPr/>
          <w:p>
            <w:pPr>
              <w:pStyle w:val="Compact"/>
            </w:pPr>
          </w:p>
        </w:tc>
      </w:tr>
      <w:tr>
        <w:tc>
          <w:tcPr/>
          <w:p>
            <w:pPr>
              <w:pStyle w:val="Compact"/>
              <w:jc w:val="left"/>
            </w:pPr>
            <w:r>
              <w:t xml:space="preserve">Coniferous Sawnwood</w:t>
            </w:r>
          </w:p>
        </w:tc>
        <w:tc>
          <w:tcPr/>
          <w:p>
            <w:pPr>
              <w:pStyle w:val="Compact"/>
              <w:jc w:val="center"/>
            </w:pPr>
            <w:r>
              <w:t xml:space="preserve">83</w:t>
            </w:r>
          </w:p>
        </w:tc>
        <w:tc>
          <w:tcPr/>
          <w:p>
            <w:pPr>
              <w:pStyle w:val="Compact"/>
              <w:jc w:val="center"/>
            </w:pPr>
            <w:r>
              <w:t xml:space="preserve">1000 m³</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Non-coniferous Sawnwood</w:t>
            </w:r>
          </w:p>
        </w:tc>
        <w:tc>
          <w:tcPr/>
          <w:p>
            <w:pPr>
              <w:pStyle w:val="Compact"/>
              <w:jc w:val="center"/>
            </w:pPr>
            <w:r>
              <w:t xml:space="preserve">79</w:t>
            </w:r>
          </w:p>
        </w:tc>
        <w:tc>
          <w:tcPr/>
          <w:p>
            <w:pPr>
              <w:pStyle w:val="Compact"/>
              <w:jc w:val="center"/>
            </w:pPr>
            <w:r>
              <w:t xml:space="preserve">1000 m³</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Plywood and Veneer Shets</w:t>
            </w:r>
          </w:p>
        </w:tc>
        <w:tc>
          <w:tcPr/>
          <w:p>
            <w:pPr>
              <w:pStyle w:val="Compact"/>
              <w:jc w:val="center"/>
            </w:pPr>
            <w:r>
              <w:t xml:space="preserve">84</w:t>
            </w:r>
          </w:p>
        </w:tc>
        <w:tc>
          <w:tcPr/>
          <w:p>
            <w:pPr>
              <w:pStyle w:val="Compact"/>
              <w:jc w:val="center"/>
            </w:pPr>
            <w:r>
              <w:t xml:space="preserve">1000 m³</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Particle Board (incl. OSB)</w:t>
            </w:r>
          </w:p>
        </w:tc>
        <w:tc>
          <w:tcPr/>
          <w:p>
            <w:pPr>
              <w:pStyle w:val="Compact"/>
              <w:jc w:val="center"/>
            </w:pPr>
            <w:r>
              <w:t xml:space="preserve">85</w:t>
            </w:r>
          </w:p>
        </w:tc>
        <w:tc>
          <w:tcPr/>
          <w:p>
            <w:pPr>
              <w:pStyle w:val="Compact"/>
              <w:jc w:val="center"/>
            </w:pPr>
            <w:r>
              <w:t xml:space="preserve">1000 m³</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Fibre Board</w:t>
            </w:r>
          </w:p>
        </w:tc>
        <w:tc>
          <w:tcPr/>
          <w:p>
            <w:pPr>
              <w:pStyle w:val="Compact"/>
              <w:jc w:val="center"/>
            </w:pPr>
            <w:r>
              <w:t xml:space="preserve">86</w:t>
            </w:r>
          </w:p>
        </w:tc>
        <w:tc>
          <w:tcPr/>
          <w:p>
            <w:pPr>
              <w:pStyle w:val="Compact"/>
              <w:jc w:val="center"/>
            </w:pPr>
            <w:r>
              <w:t xml:space="preserve">1000 m³</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Mechanical Pulp</w:t>
            </w:r>
          </w:p>
        </w:tc>
        <w:tc>
          <w:tcPr/>
          <w:p>
            <w:pPr>
              <w:pStyle w:val="Compact"/>
              <w:jc w:val="center"/>
            </w:pPr>
            <w:r>
              <w:t xml:space="preserve">87</w:t>
            </w:r>
          </w:p>
        </w:tc>
        <w:tc>
          <w:tcPr/>
          <w:p>
            <w:pPr>
              <w:pStyle w:val="Compact"/>
              <w:jc w:val="center"/>
            </w:pPr>
            <w:r>
              <w:t xml:space="preserve">1000 t</w:t>
            </w:r>
          </w:p>
        </w:tc>
        <w:tc>
          <w:tcPr/>
          <w:p>
            <w:pPr>
              <w:pStyle w:val="Compact"/>
            </w:pPr>
          </w:p>
        </w:tc>
        <w:tc>
          <w:tcPr/>
          <w:p>
            <w:pPr>
              <w:pStyle w:val="Compact"/>
              <w:jc w:val="center"/>
            </w:pPr>
            <w:r>
              <w:t xml:space="preserve">x</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Semi chem. and Chem. Pulp</w:t>
            </w:r>
          </w:p>
        </w:tc>
        <w:tc>
          <w:tcPr/>
          <w:p>
            <w:pPr>
              <w:pStyle w:val="Compact"/>
              <w:jc w:val="center"/>
            </w:pPr>
            <w:r>
              <w:t xml:space="preserve">88</w:t>
            </w:r>
          </w:p>
        </w:tc>
        <w:tc>
          <w:tcPr/>
          <w:p>
            <w:pPr>
              <w:pStyle w:val="Compact"/>
              <w:jc w:val="center"/>
            </w:pPr>
            <w:r>
              <w:t xml:space="preserve">1000 t</w:t>
            </w:r>
          </w:p>
        </w:tc>
        <w:tc>
          <w:tcPr/>
          <w:p>
            <w:pPr>
              <w:pStyle w:val="Compact"/>
            </w:pPr>
          </w:p>
        </w:tc>
        <w:tc>
          <w:tcPr/>
          <w:p>
            <w:pPr>
              <w:pStyle w:val="Compact"/>
              <w:jc w:val="center"/>
            </w:pPr>
            <w:r>
              <w:t xml:space="preserve">x</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Other Fibre Pulp</w:t>
            </w:r>
          </w:p>
        </w:tc>
        <w:tc>
          <w:tcPr/>
          <w:p>
            <w:pPr>
              <w:pStyle w:val="Compact"/>
              <w:jc w:val="center"/>
            </w:pPr>
            <w:r>
              <w:t xml:space="preserve">89</w:t>
            </w:r>
          </w:p>
        </w:tc>
        <w:tc>
          <w:tcPr/>
          <w:p>
            <w:pPr>
              <w:pStyle w:val="Compact"/>
              <w:jc w:val="center"/>
            </w:pPr>
            <w:r>
              <w:t xml:space="preserve">1000 t</w:t>
            </w:r>
          </w:p>
        </w:tc>
        <w:tc>
          <w:tcPr/>
          <w:p>
            <w:pPr>
              <w:pStyle w:val="Compact"/>
              <w:jc w:val="center"/>
            </w:pPr>
            <w:r>
              <w:t xml:space="preserve">x</w:t>
            </w:r>
          </w:p>
        </w:tc>
        <w:tc>
          <w:tcPr/>
          <w:p>
            <w:pPr>
              <w:pStyle w:val="Compact"/>
              <w:jc w:val="center"/>
            </w:pPr>
            <w:r>
              <w:t xml:space="preserve">x</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Waste Paper</w:t>
            </w:r>
          </w:p>
        </w:tc>
        <w:tc>
          <w:tcPr/>
          <w:p>
            <w:pPr>
              <w:pStyle w:val="Compact"/>
              <w:jc w:val="center"/>
            </w:pPr>
            <w:r>
              <w:t xml:space="preserve">90</w:t>
            </w:r>
          </w:p>
        </w:tc>
        <w:tc>
          <w:tcPr/>
          <w:p>
            <w:pPr>
              <w:pStyle w:val="Compact"/>
              <w:jc w:val="center"/>
            </w:pPr>
            <w:r>
              <w:t xml:space="preserve">1000 t</w:t>
            </w:r>
          </w:p>
        </w:tc>
        <w:tc>
          <w:tcPr/>
          <w:p>
            <w:pPr>
              <w:pStyle w:val="Compact"/>
              <w:jc w:val="center"/>
            </w:pPr>
            <w:r>
              <w:t xml:space="preserve">x</w:t>
            </w:r>
          </w:p>
        </w:tc>
        <w:tc>
          <w:tcPr/>
          <w:p>
            <w:pPr>
              <w:pStyle w:val="Compact"/>
            </w:pP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Newsprint</w:t>
            </w:r>
          </w:p>
        </w:tc>
        <w:tc>
          <w:tcPr/>
          <w:p>
            <w:pPr>
              <w:pStyle w:val="Compact"/>
              <w:jc w:val="center"/>
            </w:pPr>
            <w:r>
              <w:t xml:space="preserve">91</w:t>
            </w:r>
          </w:p>
        </w:tc>
        <w:tc>
          <w:tcPr/>
          <w:p>
            <w:pPr>
              <w:pStyle w:val="Compact"/>
              <w:jc w:val="center"/>
            </w:pPr>
            <w:r>
              <w:t xml:space="preserve">1000 t</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Print. and Writing Paper</w:t>
            </w:r>
          </w:p>
        </w:tc>
        <w:tc>
          <w:tcPr/>
          <w:p>
            <w:pPr>
              <w:pStyle w:val="Compact"/>
              <w:jc w:val="center"/>
            </w:pPr>
            <w:r>
              <w:t xml:space="preserve">92</w:t>
            </w:r>
          </w:p>
        </w:tc>
        <w:tc>
          <w:tcPr/>
          <w:p>
            <w:pPr>
              <w:pStyle w:val="Compact"/>
              <w:jc w:val="center"/>
            </w:pPr>
            <w:r>
              <w:t xml:space="preserve">1000 t</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Other Paper and Paperb.</w:t>
            </w:r>
          </w:p>
        </w:tc>
        <w:tc>
          <w:tcPr/>
          <w:p>
            <w:pPr>
              <w:pStyle w:val="Compact"/>
              <w:jc w:val="center"/>
            </w:pPr>
            <w:r>
              <w:t xml:space="preserve">93</w:t>
            </w:r>
          </w:p>
        </w:tc>
        <w:tc>
          <w:tcPr/>
          <w:p>
            <w:pPr>
              <w:pStyle w:val="Compact"/>
              <w:jc w:val="center"/>
            </w:pPr>
            <w:r>
              <w:t xml:space="preserve">1000 t</w:t>
            </w:r>
          </w:p>
        </w:tc>
        <w:tc>
          <w:tcPr/>
          <w:p>
            <w:pPr>
              <w:pStyle w:val="Compact"/>
            </w:pP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jc w:val="center"/>
            </w:pPr>
            <w:r>
              <w:t xml:space="preserve">x</w:t>
            </w:r>
          </w:p>
        </w:tc>
        <w:tc>
          <w:tcPr/>
          <w:p>
            <w:pPr>
              <w:pStyle w:val="Compact"/>
            </w:pPr>
          </w:p>
        </w:tc>
      </w:tr>
      <w:tr>
        <w:tc>
          <w:tcPr/>
          <w:p>
            <w:pPr>
              <w:pStyle w:val="Compact"/>
              <w:jc w:val="left"/>
            </w:pPr>
            <w:r>
              <w:t xml:space="preserve">Forest Area</w:t>
            </w:r>
          </w:p>
        </w:tc>
        <w:tc>
          <w:tcPr/>
          <w:p>
            <w:pPr>
              <w:pStyle w:val="Compact"/>
              <w:jc w:val="center"/>
            </w:pPr>
            <w:r>
              <w:t xml:space="preserve">-</w:t>
            </w:r>
          </w:p>
        </w:tc>
        <w:tc>
          <w:tcPr/>
          <w:p>
            <w:pPr>
              <w:pStyle w:val="Compact"/>
              <w:jc w:val="center"/>
            </w:pPr>
            <w:r>
              <w:t xml:space="preserve">1000 ha</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x</w:t>
            </w:r>
          </w:p>
        </w:tc>
      </w:tr>
      <w:tr>
        <w:tc>
          <w:tcPr/>
          <w:p>
            <w:pPr>
              <w:pStyle w:val="Compact"/>
              <w:jc w:val="left"/>
            </w:pPr>
            <w:r>
              <w:t xml:space="preserve">Forest Stock</w:t>
            </w:r>
          </w:p>
        </w:tc>
        <w:tc>
          <w:tcPr/>
          <w:p>
            <w:pPr>
              <w:pStyle w:val="Compact"/>
              <w:jc w:val="center"/>
            </w:pPr>
            <w:r>
              <w:t xml:space="preserve">-</w:t>
            </w:r>
          </w:p>
        </w:tc>
        <w:tc>
          <w:tcPr/>
          <w:p>
            <w:pPr>
              <w:pStyle w:val="Compact"/>
              <w:jc w:val="center"/>
            </w:pPr>
            <w:r>
              <w:t xml:space="preserve">million m³</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jc w:val="center"/>
            </w:pPr>
            <w:r>
              <w:t xml:space="preserve">x</w:t>
            </w:r>
          </w:p>
        </w:tc>
      </w:tr>
    </w:tbl>
    <w:p>
      <w:pPr>
        <w:pStyle w:val="BodyText"/>
      </w:pPr>
    </w:p>
    <w:p>
      <w:pPr>
        <w:pStyle w:val="BodyText"/>
      </w:pPr>
      <w:r>
        <w:drawing>
          <wp:inline>
            <wp:extent cx="5334000" cy="3551396"/>
            <wp:effectExtent b="0" l="0" r="0" t="0"/>
            <wp:docPr descr="timba_countries" title="" id="39" name="Picture"/>
            <a:graphic>
              <a:graphicData uri="http://schemas.openxmlformats.org/drawingml/2006/picture">
                <pic:pic>
                  <pic:nvPicPr>
                    <pic:cNvPr descr="..\images\timba_country_coverage.png" id="40" name="Picture"/>
                    <pic:cNvPicPr>
                      <a:picLocks noChangeArrowheads="1" noChangeAspect="1"/>
                    </pic:cNvPicPr>
                  </pic:nvPicPr>
                  <pic:blipFill>
                    <a:blip r:embed="rId38"/>
                    <a:stretch>
                      <a:fillRect/>
                    </a:stretch>
                  </pic:blipFill>
                  <pic:spPr bwMode="auto">
                    <a:xfrm>
                      <a:off x="0" y="0"/>
                      <a:ext cx="5334000" cy="3551396"/>
                    </a:xfrm>
                    <a:prstGeom prst="rect">
                      <a:avLst/>
                    </a:prstGeom>
                    <a:noFill/>
                    <a:ln w="9525">
                      <a:noFill/>
                      <a:headEnd/>
                      <a:tailEnd/>
                    </a:ln>
                  </pic:spPr>
                </pic:pic>
              </a:graphicData>
            </a:graphic>
          </wp:inline>
        </w:drawing>
      </w:r>
      <w:r>
        <w:t xml:space="preserve"> </w:t>
      </w:r>
      <w:r>
        <w:rPr>
          <w:b/>
          <w:bCs/>
        </w:rPr>
        <w:t xml:space="preserve">Figure 2:</w:t>
      </w:r>
      <w:r>
        <w:t xml:space="preserve"> </w:t>
      </w:r>
      <w:r>
        <w:t xml:space="preserve">Countries included in TiMBA (continental aggregation according to Table A2)</w:t>
      </w:r>
    </w:p>
    <w:p>
      <w:pPr>
        <w:pStyle w:val="BodyText"/>
      </w:pPr>
      <w:r>
        <w:rPr>
          <w:b/>
          <w:bCs/>
        </w:rPr>
        <w:t xml:space="preserve">Table 4:</w:t>
      </w:r>
      <w:r>
        <w:t xml:space="preserve"> </w:t>
      </w:r>
      <w:r>
        <w:t xml:space="preserve">Demand and supply elasticities</w:t>
      </w:r>
    </w:p>
    <w:tbl>
      <w:tblPr>
        <w:tblStyle w:val="Table"/>
        <w:tblW w:type="pct" w:w="5000"/>
        <w:tblLayout w:type="fixed"/>
        <w:tblLook w:firstRow="1" w:lastRow="0" w:firstColumn="0" w:lastColumn="0" w:noHBand="0" w:noVBand="0" w:val="0020"/>
      </w:tblPr>
      <w:tblGrid>
        <w:gridCol w:w="2190"/>
        <w:gridCol w:w="1600"/>
        <w:gridCol w:w="674"/>
        <w:gridCol w:w="1600"/>
        <w:gridCol w:w="674"/>
        <w:gridCol w:w="1179"/>
      </w:tblGrid>
      <w:tr>
        <w:trPr>
          <w:tblHeader w:val="on"/>
        </w:trPr>
        <w:tc>
          <w:tcPr/>
          <w:p>
            <w:pPr>
              <w:pStyle w:val="Compact"/>
            </w:pPr>
            <w:r>
              <w:t xml:space="preserve"> </w:t>
            </w:r>
          </w:p>
        </w:tc>
        <w:tc>
          <w:tcPr/>
          <w:p>
            <w:pPr>
              <w:pStyle w:val="Compact"/>
              <w:jc w:val="center"/>
            </w:pPr>
            <w:r>
              <w:t xml:space="preserve">Demand elasticity</w:t>
            </w:r>
          </w:p>
        </w:tc>
        <w:tc>
          <w:tcPr/>
          <w:p>
            <w:pPr>
              <w:pStyle w:val="Compact"/>
            </w:pPr>
          </w:p>
        </w:tc>
        <w:tc>
          <w:tcPr/>
          <w:p>
            <w:pPr>
              <w:pStyle w:val="Compact"/>
              <w:jc w:val="center"/>
            </w:pPr>
            <w:r>
              <w:t xml:space="preserve">Supply elsaticity</w:t>
            </w:r>
          </w:p>
        </w:tc>
        <w:tc>
          <w:tcPr/>
          <w:p>
            <w:pPr>
              <w:pStyle w:val="Compact"/>
            </w:pPr>
          </w:p>
        </w:tc>
        <w:tc>
          <w:tcPr/>
          <w:p>
            <w:pPr>
              <w:pStyle w:val="Compact"/>
            </w:pPr>
          </w:p>
        </w:tc>
      </w:tr>
      <w:tr>
        <w:tc>
          <w:tcPr/>
          <w:p>
            <w:pPr>
              <w:pStyle w:val="Compact"/>
            </w:pPr>
            <w:r>
              <w:t xml:space="preserve">Commodity</w:t>
            </w:r>
          </w:p>
        </w:tc>
        <w:tc>
          <w:tcPr/>
          <w:p>
            <w:pPr>
              <w:pStyle w:val="Compact"/>
              <w:jc w:val="center"/>
            </w:pPr>
            <w:r>
              <w:t xml:space="preserve">price</w:t>
            </w:r>
          </w:p>
        </w:tc>
        <w:tc>
          <w:tcPr/>
          <w:p>
            <w:pPr>
              <w:pStyle w:val="Compact"/>
              <w:jc w:val="center"/>
            </w:pPr>
            <w:r>
              <w:t xml:space="preserve">income</w:t>
            </w:r>
          </w:p>
        </w:tc>
        <w:tc>
          <w:tcPr/>
          <w:p>
            <w:pPr>
              <w:pStyle w:val="Compact"/>
              <w:jc w:val="center"/>
            </w:pPr>
            <w:r>
              <w:t xml:space="preserve">price</w:t>
            </w:r>
          </w:p>
        </w:tc>
        <w:tc>
          <w:tcPr/>
          <w:p>
            <w:pPr>
              <w:pStyle w:val="Compact"/>
              <w:jc w:val="center"/>
            </w:pPr>
            <w:r>
              <w:t xml:space="preserve">income</w:t>
            </w:r>
          </w:p>
        </w:tc>
        <w:tc>
          <w:tcPr/>
          <w:p>
            <w:pPr>
              <w:pStyle w:val="Compact"/>
              <w:jc w:val="center"/>
            </w:pPr>
            <w:r>
              <w:t xml:space="preserve">forest stock</w:t>
            </w:r>
          </w:p>
        </w:tc>
      </w:tr>
      <w:tr>
        <w:tc>
          <w:tcPr/>
          <w:p>
            <w:pPr>
              <w:pStyle w:val="Compact"/>
            </w:pPr>
            <w:r>
              <w:t xml:space="preserve">Fiberboard</w:t>
            </w:r>
          </w:p>
        </w:tc>
        <w:tc>
          <w:tcPr/>
          <w:p>
            <w:pPr>
              <w:pStyle w:val="Compact"/>
              <w:jc w:val="center"/>
            </w:pPr>
            <w:r>
              <w:t xml:space="preserve">-0.4629</w:t>
            </w:r>
          </w:p>
        </w:tc>
        <w:tc>
          <w:tcPr/>
          <w:p>
            <w:pPr>
              <w:pStyle w:val="Compact"/>
              <w:jc w:val="center"/>
            </w:pPr>
            <w:r>
              <w:t xml:space="preserve">1.0661</w:t>
            </w:r>
          </w:p>
        </w:tc>
        <w:tc>
          <w:tcPr/>
          <w:p>
            <w:pPr>
              <w:pStyle w:val="Compact"/>
            </w:pPr>
          </w:p>
        </w:tc>
        <w:tc>
          <w:tcPr/>
          <w:p>
            <w:pPr>
              <w:pStyle w:val="Compact"/>
            </w:pPr>
          </w:p>
        </w:tc>
        <w:tc>
          <w:tcPr/>
          <w:p>
            <w:pPr>
              <w:pStyle w:val="Compact"/>
            </w:pPr>
          </w:p>
        </w:tc>
      </w:tr>
      <w:tr>
        <w:tc>
          <w:tcPr/>
          <w:p>
            <w:pPr>
              <w:pStyle w:val="Compact"/>
            </w:pPr>
            <w:r>
              <w:t xml:space="preserve">Fuelwood</w:t>
            </w:r>
          </w:p>
        </w:tc>
        <w:tc>
          <w:tcPr/>
          <w:p>
            <w:pPr>
              <w:pStyle w:val="Compact"/>
              <w:jc w:val="center"/>
            </w:pPr>
            <w:r>
              <w:t xml:space="preserve">-0.1458</w:t>
            </w:r>
          </w:p>
        </w:tc>
        <w:tc>
          <w:tcPr/>
          <w:p>
            <w:pPr>
              <w:pStyle w:val="Compact"/>
              <w:jc w:val="center"/>
            </w:pPr>
            <w:r>
              <w:t xml:space="preserve">0.5680</w:t>
            </w:r>
          </w:p>
        </w:tc>
        <w:tc>
          <w:tcPr/>
          <w:p>
            <w:pPr>
              <w:pStyle w:val="Compact"/>
            </w:pPr>
          </w:p>
        </w:tc>
        <w:tc>
          <w:tcPr/>
          <w:p>
            <w:pPr>
              <w:pStyle w:val="Compact"/>
            </w:pPr>
          </w:p>
        </w:tc>
        <w:tc>
          <w:tcPr/>
          <w:p>
            <w:pPr>
              <w:pStyle w:val="Compact"/>
            </w:pPr>
          </w:p>
        </w:tc>
      </w:tr>
      <w:tr>
        <w:tc>
          <w:tcPr/>
          <w:p>
            <w:pPr>
              <w:pStyle w:val="Compact"/>
            </w:pPr>
            <w:r>
              <w:t xml:space="preserve">Newsprint</w:t>
            </w:r>
          </w:p>
        </w:tc>
        <w:tc>
          <w:tcPr/>
          <w:p>
            <w:pPr>
              <w:pStyle w:val="Compact"/>
              <w:jc w:val="center"/>
            </w:pPr>
            <w:r>
              <w:t xml:space="preserve">-0.1208</w:t>
            </w:r>
          </w:p>
        </w:tc>
        <w:tc>
          <w:tcPr/>
          <w:p>
            <w:pPr>
              <w:pStyle w:val="Compact"/>
              <w:jc w:val="center"/>
            </w:pPr>
            <w:r>
              <w:t xml:space="preserve">0.2371</w:t>
            </w:r>
          </w:p>
        </w:tc>
        <w:tc>
          <w:tcPr/>
          <w:p>
            <w:pPr>
              <w:pStyle w:val="Compact"/>
            </w:pPr>
          </w:p>
        </w:tc>
        <w:tc>
          <w:tcPr/>
          <w:p>
            <w:pPr>
              <w:pStyle w:val="Compact"/>
            </w:pPr>
          </w:p>
        </w:tc>
        <w:tc>
          <w:tcPr/>
          <w:p>
            <w:pPr>
              <w:pStyle w:val="Compact"/>
            </w:pPr>
          </w:p>
        </w:tc>
      </w:tr>
      <w:tr>
        <w:tc>
          <w:tcPr/>
          <w:p>
            <w:pPr>
              <w:pStyle w:val="Compact"/>
            </w:pPr>
            <w:r>
              <w:t xml:space="preserve">Other Paper</w:t>
            </w:r>
          </w:p>
        </w:tc>
        <w:tc>
          <w:tcPr/>
          <w:p>
            <w:pPr>
              <w:pStyle w:val="Compact"/>
              <w:jc w:val="center"/>
            </w:pPr>
            <w:r>
              <w:t xml:space="preserve">-0.1695</w:t>
            </w:r>
          </w:p>
        </w:tc>
        <w:tc>
          <w:tcPr/>
          <w:p>
            <w:pPr>
              <w:pStyle w:val="Compact"/>
              <w:jc w:val="center"/>
            </w:pPr>
            <w:r>
              <w:t xml:space="preserve">0.2283</w:t>
            </w:r>
          </w:p>
        </w:tc>
        <w:tc>
          <w:tcPr/>
          <w:p>
            <w:pPr>
              <w:pStyle w:val="Compact"/>
            </w:pPr>
          </w:p>
        </w:tc>
        <w:tc>
          <w:tcPr/>
          <w:p>
            <w:pPr>
              <w:pStyle w:val="Compact"/>
            </w:pPr>
          </w:p>
        </w:tc>
        <w:tc>
          <w:tcPr/>
          <w:p>
            <w:pPr>
              <w:pStyle w:val="Compact"/>
            </w:pPr>
          </w:p>
        </w:tc>
      </w:tr>
      <w:tr>
        <w:tc>
          <w:tcPr/>
          <w:p>
            <w:pPr>
              <w:pStyle w:val="Compact"/>
            </w:pPr>
            <w:r>
              <w:t xml:space="preserve">P. &amp; W. Paper</w:t>
            </w:r>
          </w:p>
        </w:tc>
        <w:tc>
          <w:tcPr/>
          <w:p>
            <w:pPr>
              <w:pStyle w:val="Compact"/>
              <w:jc w:val="center"/>
            </w:pPr>
            <w:r>
              <w:t xml:space="preserve">-0.5188</w:t>
            </w:r>
          </w:p>
        </w:tc>
        <w:tc>
          <w:tcPr/>
          <w:p>
            <w:pPr>
              <w:pStyle w:val="Compact"/>
              <w:jc w:val="center"/>
            </w:pPr>
            <w:r>
              <w:t xml:space="preserve">0.3626</w:t>
            </w:r>
          </w:p>
        </w:tc>
        <w:tc>
          <w:tcPr/>
          <w:p>
            <w:pPr>
              <w:pStyle w:val="Compact"/>
            </w:pPr>
          </w:p>
        </w:tc>
        <w:tc>
          <w:tcPr/>
          <w:p>
            <w:pPr>
              <w:pStyle w:val="Compact"/>
            </w:pPr>
          </w:p>
        </w:tc>
        <w:tc>
          <w:tcPr/>
          <w:p>
            <w:pPr>
              <w:pStyle w:val="Compact"/>
            </w:pPr>
          </w:p>
        </w:tc>
      </w:tr>
      <w:tr>
        <w:tc>
          <w:tcPr/>
          <w:p>
            <w:pPr>
              <w:pStyle w:val="Compact"/>
            </w:pPr>
            <w:r>
              <w:t xml:space="preserve">Particle Board</w:t>
            </w:r>
          </w:p>
        </w:tc>
        <w:tc>
          <w:tcPr/>
          <w:p>
            <w:pPr>
              <w:pStyle w:val="Compact"/>
              <w:jc w:val="center"/>
            </w:pPr>
            <w:r>
              <w:t xml:space="preserve">-0.4923</w:t>
            </w:r>
          </w:p>
        </w:tc>
        <w:tc>
          <w:tcPr/>
          <w:p>
            <w:pPr>
              <w:pStyle w:val="Compact"/>
              <w:jc w:val="center"/>
            </w:pPr>
            <w:r>
              <w:t xml:space="preserve">0.7502</w:t>
            </w:r>
          </w:p>
        </w:tc>
        <w:tc>
          <w:tcPr/>
          <w:p>
            <w:pPr>
              <w:pStyle w:val="Compact"/>
            </w:pPr>
          </w:p>
        </w:tc>
        <w:tc>
          <w:tcPr/>
          <w:p>
            <w:pPr>
              <w:pStyle w:val="Compact"/>
            </w:pPr>
          </w:p>
        </w:tc>
        <w:tc>
          <w:tcPr/>
          <w:p>
            <w:pPr>
              <w:pStyle w:val="Compact"/>
            </w:pPr>
          </w:p>
        </w:tc>
      </w:tr>
      <w:tr>
        <w:tc>
          <w:tcPr/>
          <w:p>
            <w:pPr>
              <w:pStyle w:val="Compact"/>
            </w:pPr>
            <w:r>
              <w:t xml:space="preserve">Plywood &amp; Veneer</w:t>
            </w:r>
          </w:p>
        </w:tc>
        <w:tc>
          <w:tcPr/>
          <w:p>
            <w:pPr>
              <w:pStyle w:val="Compact"/>
              <w:jc w:val="center"/>
            </w:pPr>
            <w:r>
              <w:t xml:space="preserve">-0.3534</w:t>
            </w:r>
          </w:p>
        </w:tc>
        <w:tc>
          <w:tcPr/>
          <w:p>
            <w:pPr>
              <w:pStyle w:val="Compact"/>
              <w:jc w:val="center"/>
            </w:pPr>
            <w:r>
              <w:t xml:space="preserve">0.596</w:t>
            </w:r>
          </w:p>
        </w:tc>
        <w:tc>
          <w:tcPr/>
          <w:p>
            <w:pPr>
              <w:pStyle w:val="Compact"/>
            </w:pPr>
          </w:p>
        </w:tc>
        <w:tc>
          <w:tcPr/>
          <w:p>
            <w:pPr>
              <w:pStyle w:val="Compact"/>
            </w:pPr>
          </w:p>
        </w:tc>
        <w:tc>
          <w:tcPr/>
          <w:p>
            <w:pPr>
              <w:pStyle w:val="Compact"/>
            </w:pPr>
          </w:p>
        </w:tc>
      </w:tr>
      <w:tr>
        <w:tc>
          <w:tcPr/>
          <w:p>
            <w:pPr>
              <w:pStyle w:val="Compact"/>
            </w:pPr>
            <w:r>
              <w:t xml:space="preserve">Sawnwood C</w:t>
            </w:r>
          </w:p>
        </w:tc>
        <w:tc>
          <w:tcPr/>
          <w:p>
            <w:pPr>
              <w:pStyle w:val="Compact"/>
              <w:jc w:val="center"/>
            </w:pPr>
            <w:r>
              <w:t xml:space="preserve">-0.3001</w:t>
            </w:r>
          </w:p>
        </w:tc>
        <w:tc>
          <w:tcPr/>
          <w:p>
            <w:pPr>
              <w:pStyle w:val="Compact"/>
              <w:jc w:val="center"/>
            </w:pPr>
            <w:r>
              <w:t xml:space="preserve">0.4409</w:t>
            </w:r>
          </w:p>
        </w:tc>
        <w:tc>
          <w:tcPr/>
          <w:p>
            <w:pPr>
              <w:pStyle w:val="Compact"/>
            </w:pPr>
          </w:p>
        </w:tc>
        <w:tc>
          <w:tcPr/>
          <w:p>
            <w:pPr>
              <w:pStyle w:val="Compact"/>
            </w:pPr>
          </w:p>
        </w:tc>
        <w:tc>
          <w:tcPr/>
          <w:p>
            <w:pPr>
              <w:pStyle w:val="Compact"/>
            </w:pPr>
          </w:p>
        </w:tc>
      </w:tr>
      <w:tr>
        <w:tc>
          <w:tcPr/>
          <w:p>
            <w:pPr>
              <w:pStyle w:val="Compact"/>
            </w:pPr>
            <w:r>
              <w:t xml:space="preserve">Sawnwood NC</w:t>
            </w:r>
          </w:p>
        </w:tc>
        <w:tc>
          <w:tcPr/>
          <w:p>
            <w:pPr>
              <w:pStyle w:val="Compact"/>
              <w:jc w:val="center"/>
            </w:pPr>
            <w:r>
              <w:t xml:space="preserve">-0.1221</w:t>
            </w:r>
          </w:p>
        </w:tc>
        <w:tc>
          <w:tcPr/>
          <w:p>
            <w:pPr>
              <w:pStyle w:val="Compact"/>
              <w:jc w:val="center"/>
            </w:pPr>
            <w:r>
              <w:t xml:space="preserve">0.2162</w:t>
            </w:r>
          </w:p>
        </w:tc>
        <w:tc>
          <w:tcPr/>
          <w:p>
            <w:pPr>
              <w:pStyle w:val="Compact"/>
            </w:pPr>
          </w:p>
        </w:tc>
        <w:tc>
          <w:tcPr/>
          <w:p>
            <w:pPr>
              <w:pStyle w:val="Compact"/>
            </w:pPr>
          </w:p>
        </w:tc>
        <w:tc>
          <w:tcPr/>
          <w:p>
            <w:pPr>
              <w:pStyle w:val="Compact"/>
            </w:pPr>
          </w:p>
        </w:tc>
      </w:tr>
      <w:tr>
        <w:tc>
          <w:tcPr/>
          <w:p>
            <w:pPr>
              <w:pStyle w:val="Compact"/>
            </w:pPr>
            <w:r>
              <w:t xml:space="preserve">Fuelwood</w:t>
            </w:r>
          </w:p>
        </w:tc>
        <w:tc>
          <w:tcPr/>
          <w:p>
            <w:pPr>
              <w:pStyle w:val="Compact"/>
            </w:pPr>
          </w:p>
        </w:tc>
        <w:tc>
          <w:tcPr/>
          <w:p>
            <w:pPr>
              <w:pStyle w:val="Compact"/>
            </w:pPr>
          </w:p>
        </w:tc>
        <w:tc>
          <w:tcPr/>
          <w:p>
            <w:pPr>
              <w:pStyle w:val="Compact"/>
              <w:jc w:val="center"/>
            </w:pPr>
            <w:r>
              <w:t xml:space="preserve">1.0311</w:t>
            </w:r>
          </w:p>
        </w:tc>
        <w:tc>
          <w:tcPr/>
          <w:p>
            <w:pPr>
              <w:pStyle w:val="Compact"/>
              <w:jc w:val="center"/>
            </w:pPr>
            <w:r>
              <w:t xml:space="preserve">-</w:t>
            </w:r>
          </w:p>
        </w:tc>
        <w:tc>
          <w:tcPr/>
          <w:p>
            <w:pPr>
              <w:pStyle w:val="Compact"/>
              <w:jc w:val="center"/>
            </w:pPr>
            <w:r>
              <w:t xml:space="preserve">1.1000</w:t>
            </w:r>
          </w:p>
        </w:tc>
      </w:tr>
      <w:tr>
        <w:tc>
          <w:tcPr/>
          <w:p>
            <w:pPr>
              <w:pStyle w:val="Compact"/>
            </w:pPr>
            <w:r>
              <w:t xml:space="preserve">Industrial Roundwood C</w:t>
            </w:r>
          </w:p>
        </w:tc>
        <w:tc>
          <w:tcPr/>
          <w:p>
            <w:pPr>
              <w:pStyle w:val="Compact"/>
            </w:pPr>
          </w:p>
        </w:tc>
        <w:tc>
          <w:tcPr/>
          <w:p>
            <w:pPr>
              <w:pStyle w:val="Compact"/>
            </w:pPr>
          </w:p>
        </w:tc>
        <w:tc>
          <w:tcPr/>
          <w:p>
            <w:pPr>
              <w:pStyle w:val="Compact"/>
              <w:jc w:val="center"/>
            </w:pPr>
            <w:r>
              <w:t xml:space="preserve">1.0738</w:t>
            </w:r>
          </w:p>
        </w:tc>
        <w:tc>
          <w:tcPr/>
          <w:p>
            <w:pPr>
              <w:pStyle w:val="Compact"/>
              <w:jc w:val="center"/>
            </w:pPr>
            <w:r>
              <w:t xml:space="preserve">-</w:t>
            </w:r>
          </w:p>
        </w:tc>
        <w:tc>
          <w:tcPr/>
          <w:p>
            <w:pPr>
              <w:pStyle w:val="Compact"/>
              <w:jc w:val="center"/>
            </w:pPr>
            <w:r>
              <w:t xml:space="preserve">1.1000</w:t>
            </w:r>
          </w:p>
        </w:tc>
      </w:tr>
      <w:tr>
        <w:tc>
          <w:tcPr/>
          <w:p>
            <w:pPr>
              <w:pStyle w:val="Compact"/>
            </w:pPr>
            <w:r>
              <w:t xml:space="preserve">Industrial Roundwood NC</w:t>
            </w:r>
          </w:p>
        </w:tc>
        <w:tc>
          <w:tcPr/>
          <w:p>
            <w:pPr>
              <w:pStyle w:val="Compact"/>
            </w:pPr>
          </w:p>
        </w:tc>
        <w:tc>
          <w:tcPr/>
          <w:p>
            <w:pPr>
              <w:pStyle w:val="Compact"/>
            </w:pPr>
          </w:p>
        </w:tc>
        <w:tc>
          <w:tcPr/>
          <w:p>
            <w:pPr>
              <w:pStyle w:val="Compact"/>
              <w:jc w:val="center"/>
            </w:pPr>
            <w:r>
              <w:t xml:space="preserve">1.0440</w:t>
            </w:r>
          </w:p>
        </w:tc>
        <w:tc>
          <w:tcPr/>
          <w:p>
            <w:pPr>
              <w:pStyle w:val="Compact"/>
              <w:jc w:val="center"/>
            </w:pPr>
            <w:r>
              <w:t xml:space="preserve">-</w:t>
            </w:r>
          </w:p>
        </w:tc>
        <w:tc>
          <w:tcPr/>
          <w:p>
            <w:pPr>
              <w:pStyle w:val="Compact"/>
              <w:jc w:val="center"/>
            </w:pPr>
            <w:r>
              <w:t xml:space="preserve">1.1000</w:t>
            </w:r>
          </w:p>
        </w:tc>
      </w:tr>
      <w:tr>
        <w:tc>
          <w:tcPr/>
          <w:p>
            <w:pPr>
              <w:pStyle w:val="Compact"/>
            </w:pPr>
            <w:r>
              <w:t xml:space="preserve">Wastepaper</w:t>
            </w:r>
          </w:p>
        </w:tc>
        <w:tc>
          <w:tcPr/>
          <w:p>
            <w:pPr>
              <w:pStyle w:val="Compact"/>
            </w:pPr>
          </w:p>
        </w:tc>
        <w:tc>
          <w:tcPr/>
          <w:p>
            <w:pPr>
              <w:pStyle w:val="Compact"/>
            </w:pPr>
          </w:p>
        </w:tc>
        <w:tc>
          <w:tcPr/>
          <w:p>
            <w:pPr>
              <w:pStyle w:val="Compact"/>
              <w:jc w:val="center"/>
            </w:pPr>
            <w:r>
              <w:t xml:space="preserve">1.0000</w:t>
            </w:r>
          </w:p>
        </w:tc>
        <w:tc>
          <w:tcPr/>
          <w:p>
            <w:pPr>
              <w:pStyle w:val="Compact"/>
              <w:jc w:val="center"/>
            </w:pPr>
            <w:r>
              <w:t xml:space="preserve">0.6700</w:t>
            </w:r>
          </w:p>
        </w:tc>
        <w:tc>
          <w:tcPr/>
          <w:p>
            <w:pPr>
              <w:pStyle w:val="Compact"/>
              <w:jc w:val="center"/>
            </w:pPr>
            <w:r>
              <w:t xml:space="preserve">-</w:t>
            </w:r>
          </w:p>
        </w:tc>
      </w:tr>
      <w:tr>
        <w:tc>
          <w:tcPr/>
          <w:p>
            <w:pPr>
              <w:pStyle w:val="Compact"/>
            </w:pPr>
            <w:r>
              <w:t xml:space="preserve">Other Fibre Pulp</w:t>
            </w:r>
          </w:p>
        </w:tc>
        <w:tc>
          <w:tcPr/>
          <w:p>
            <w:pPr>
              <w:pStyle w:val="Compact"/>
            </w:pPr>
          </w:p>
        </w:tc>
        <w:tc>
          <w:tcPr/>
          <w:p>
            <w:pPr>
              <w:pStyle w:val="Compact"/>
            </w:pPr>
          </w:p>
        </w:tc>
        <w:tc>
          <w:tcPr/>
          <w:p>
            <w:pPr>
              <w:pStyle w:val="Compact"/>
              <w:jc w:val="center"/>
            </w:pPr>
            <w:r>
              <w:t xml:space="preserve">1.0000</w:t>
            </w:r>
          </w:p>
        </w:tc>
        <w:tc>
          <w:tcPr/>
          <w:p>
            <w:pPr>
              <w:pStyle w:val="Compact"/>
              <w:jc w:val="center"/>
            </w:pPr>
            <w:r>
              <w:t xml:space="preserve">0.1400</w:t>
            </w:r>
          </w:p>
        </w:tc>
        <w:tc>
          <w:tcPr/>
          <w:p>
            <w:pPr>
              <w:pStyle w:val="Compact"/>
              <w:jc w:val="center"/>
            </w:pPr>
            <w:r>
              <w:t xml:space="preserve">-</w:t>
            </w:r>
          </w:p>
        </w:tc>
      </w:tr>
    </w:tbl>
    <w:p>
      <w:pPr>
        <w:pStyle w:val="BodyText"/>
      </w:pPr>
      <w:r>
        <w:t xml:space="preserve">Note: This is a summarizing table; Elasticities are shown for the best model, which is chosen on the basis of Breusch-Pagan, Maddala-Wu and Hausman tests based on</w:t>
      </w:r>
      <w:r>
        <w:t xml:space="preserve"> </w:t>
      </w:r>
      <w:r>
        <w:t xml:space="preserve">(</w:t>
      </w:r>
      <w:hyperlink w:anchor="ref-Morland:2018">
        <w:r>
          <w:rPr>
            <w:rStyle w:val="Hyperlink"/>
            <w:b/>
            <w:bCs/>
          </w:rPr>
          <w:t xml:space="preserve">Morland:2018?</w:t>
        </w:r>
      </w:hyperlink>
      <w:r>
        <w:t xml:space="preserve">)</w:t>
      </w:r>
      <w:r>
        <w:t xml:space="preserve"> </w:t>
      </w:r>
      <w:r>
        <w:t xml:space="preserve">taken from GFPM</w:t>
      </w:r>
      <w:r>
        <w:t xml:space="preserve"> </w:t>
      </w:r>
      <w:r>
        <w:t xml:space="preserve">(</w:t>
      </w:r>
      <w:hyperlink w:anchor="ref-Buongiorno:2003">
        <w:r>
          <w:rPr>
            <w:rStyle w:val="Hyperlink"/>
          </w:rPr>
          <w:t xml:space="preserve">Buongiorno et al. 2003</w:t>
        </w:r>
      </w:hyperlink>
      <w:r>
        <w:t xml:space="preserve">)</w:t>
      </w:r>
      <w:r>
        <w:t xml:space="preserve">, GFPM-base2021 (https://onedrive.live.com/?authkey=%21AEF7RY7oAPlrDPk&amp;id=93BC28B749A1DFB6%2117056&amp;cid=93BC28B749A1DFB6)</w:t>
      </w:r>
    </w:p>
    <w:bookmarkEnd w:id="41"/>
    <w:bookmarkStart w:id="42" w:name="exogenous-parameter-development"/>
    <w:p>
      <w:pPr>
        <w:pStyle w:val="Heading3"/>
      </w:pPr>
      <w:r>
        <w:t xml:space="preserve">Exogenous Parameter Development</w:t>
      </w:r>
    </w:p>
    <w:p>
      <w:pPr>
        <w:pStyle w:val="FirstParagraph"/>
      </w:pPr>
      <w:r>
        <w:t xml:space="preserve">Currently, TiMBA simulates forests and wood product market developments until 2050. Beyond the endogenous equilibrium process, exogenous parameters shift the development pathway form year to year including parameters on country-specific GDP and population growth as well as on as growth rates for country- and product specific input-output ratios and manufacturing costs.</w:t>
      </w:r>
    </w:p>
    <w:p>
      <w:pPr>
        <w:pStyle w:val="BodyText"/>
      </w:pPr>
      <w:r>
        <w:t xml:space="preserve">Data GDP and population growth are taken from the</w:t>
      </w:r>
      <w:r>
        <w:t xml:space="preserve"> </w:t>
      </w:r>
      <w:r>
        <w:t xml:space="preserve">“Middle of the road”</w:t>
      </w:r>
      <w:r>
        <w:t xml:space="preserve"> </w:t>
      </w:r>
      <w:r>
        <w:t xml:space="preserve">scenario (SSP 2) described in</w:t>
      </w:r>
      <w:r>
        <w:t xml:space="preserve"> </w:t>
      </w:r>
      <w:r>
        <w:t xml:space="preserve">“The Shared Socioeconomic Pathways”</w:t>
      </w:r>
      <w:r>
        <w:t xml:space="preserve"> </w:t>
      </w:r>
      <w:r>
        <w:t xml:space="preserve">as provided by IIASA data base (QUELLE). Parameters driving forest growth others than GDP per capita are held constant. Future development of input-output coefficients and manufacturing cost were estimated by the authors in a subsequent study based on historical data. Trade activities are contraint by constant trade internia bounds as defined in the GFPM (Buongiorno et al. 2003), GFPM-base2021 (https://onedrive.live.com/?authkey=%21AEF7RY7oAPlrDPk&amp;id=93BC28B749A1DFB6%2117056&amp;cid=93BC28B749A1DFB6).</w:t>
      </w:r>
    </w:p>
    <w:bookmarkEnd w:id="42"/>
    <w:bookmarkEnd w:id="43"/>
    <w:bookmarkStart w:id="44" w:name="computer-software"/>
    <w:p>
      <w:pPr>
        <w:pStyle w:val="Heading2"/>
      </w:pPr>
      <w:r>
        <w:t xml:space="preserve">Computer software</w:t>
      </w:r>
    </w:p>
    <w:p>
      <w:pPr>
        <w:pStyle w:val="FirstParagraph"/>
      </w:pPr>
      <w:r>
        <w:t xml:space="preserve">After linear approximation of the demand, supply and cost functions (2), (3) and (7), the objective function (1) is quadratic in D, S, Y and T. The equilibrium in a given year is calculated by solving a quadratic optimization problem with linear constraints. The solution is computed with the … solver (QUELLE). A current version of the TiMBA software together with calibrated input data set (scenario_input) are available here: https://github.com/TI-Forest-Sector-Modelling/TiMBA</w:t>
      </w:r>
    </w:p>
    <w:p>
      <w:pPr>
        <w:pStyle w:val="BodyText"/>
      </w:pPr>
      <w:r>
        <w:t xml:space="preserve">TiMBA was subject of an extensive validation process which was designed to assure the quality and functionality of the model. More information about the valiation process and results will be published seperatly and following soon.</w:t>
      </w:r>
    </w:p>
    <w:bookmarkEnd w:id="44"/>
    <w:bookmarkStart w:id="48" w:name="validation"/>
    <w:p>
      <w:pPr>
        <w:pStyle w:val="Heading2"/>
      </w:pPr>
      <w:r>
        <w:t xml:space="preserve">Validation</w:t>
      </w:r>
    </w:p>
    <w:bookmarkStart w:id="45" w:name="projection-historic-data-replication"/>
    <w:p>
      <w:pPr>
        <w:pStyle w:val="Heading3"/>
      </w:pPr>
      <w:r>
        <w:t xml:space="preserve">Projection / historic data replication</w:t>
      </w:r>
    </w:p>
    <w:bookmarkEnd w:id="45"/>
    <w:bookmarkStart w:id="46" w:name="inter-model-comparison"/>
    <w:p>
      <w:pPr>
        <w:pStyle w:val="Heading3"/>
      </w:pPr>
      <w:r>
        <w:t xml:space="preserve">Inter-model comparison</w:t>
      </w:r>
    </w:p>
    <w:bookmarkEnd w:id="46"/>
    <w:bookmarkStart w:id="47" w:name="economic-shocks-economic-behaviour"/>
    <w:p>
      <w:pPr>
        <w:pStyle w:val="Heading3"/>
      </w:pPr>
      <w:r>
        <w:t xml:space="preserve">Economic shocks / economic behaviour</w:t>
      </w:r>
    </w:p>
    <w:bookmarkEnd w:id="47"/>
    <w:bookmarkEnd w:id="48"/>
    <w:bookmarkStart w:id="60" w:name="annex"/>
    <w:p>
      <w:pPr>
        <w:pStyle w:val="Heading2"/>
      </w:pPr>
      <w:r>
        <w:t xml:space="preserve">Annex</w:t>
      </w:r>
    </w:p>
    <w:p>
      <w:pPr>
        <w:pStyle w:val="FirstParagraph"/>
      </w:pPr>
      <w:r>
        <w:rPr>
          <w:b/>
          <w:bCs/>
        </w:rPr>
        <w:t xml:space="preserve">Table A1:</w:t>
      </w:r>
      <w:r>
        <w:t xml:space="preserve"> </w:t>
      </w:r>
      <w:r>
        <w:t xml:space="preserve">Freight cost of shipping one unit of commodity from origin country to destination country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Commodity</w:t>
            </w:r>
          </w:p>
        </w:tc>
        <w:tc>
          <w:tcPr/>
          <w:p>
            <w:pPr>
              <w:pStyle w:val="Compact"/>
              <w:jc w:val="center"/>
            </w:pPr>
            <w:r>
              <w:t xml:space="preserve">Freight Cost</w:t>
            </w:r>
          </w:p>
        </w:tc>
      </w:tr>
      <w:tr>
        <w:tc>
          <w:tcPr/>
          <w:p>
            <w:pPr>
              <w:pStyle w:val="Compact"/>
              <w:jc w:val="left"/>
            </w:pPr>
            <w:r>
              <w:t xml:space="preserve">IndRoundNC</w:t>
            </w:r>
          </w:p>
        </w:tc>
        <w:tc>
          <w:tcPr/>
          <w:p>
            <w:pPr>
              <w:pStyle w:val="Compact"/>
              <w:jc w:val="center"/>
            </w:pPr>
            <w:r>
              <w:t xml:space="preserve">32</w:t>
            </w:r>
          </w:p>
        </w:tc>
      </w:tr>
      <w:tr>
        <w:tc>
          <w:tcPr/>
          <w:p>
            <w:pPr>
              <w:pStyle w:val="Compact"/>
              <w:jc w:val="left"/>
            </w:pPr>
            <w:r>
              <w:t xml:space="preserve">SawnwoodNC</w:t>
            </w:r>
          </w:p>
        </w:tc>
        <w:tc>
          <w:tcPr/>
          <w:p>
            <w:pPr>
              <w:pStyle w:val="Compact"/>
              <w:jc w:val="center"/>
            </w:pPr>
            <w:r>
              <w:t xml:space="preserve">50</w:t>
            </w:r>
          </w:p>
        </w:tc>
      </w:tr>
      <w:tr>
        <w:tc>
          <w:tcPr/>
          <w:p>
            <w:pPr>
              <w:pStyle w:val="Compact"/>
              <w:jc w:val="left"/>
            </w:pPr>
            <w:r>
              <w:t xml:space="preserve">Fuelwood</w:t>
            </w:r>
          </w:p>
        </w:tc>
        <w:tc>
          <w:tcPr/>
          <w:p>
            <w:pPr>
              <w:pStyle w:val="Compact"/>
              <w:jc w:val="center"/>
            </w:pPr>
            <w:r>
              <w:t xml:space="preserve">14</w:t>
            </w:r>
          </w:p>
        </w:tc>
      </w:tr>
      <w:tr>
        <w:tc>
          <w:tcPr/>
          <w:p>
            <w:pPr>
              <w:pStyle w:val="Compact"/>
              <w:jc w:val="left"/>
            </w:pPr>
            <w:r>
              <w:t xml:space="preserve">IndRound</w:t>
            </w:r>
          </w:p>
        </w:tc>
        <w:tc>
          <w:tcPr/>
          <w:p>
            <w:pPr>
              <w:pStyle w:val="Compact"/>
              <w:jc w:val="center"/>
            </w:pPr>
            <w:r>
              <w:t xml:space="preserve">17</w:t>
            </w:r>
          </w:p>
        </w:tc>
      </w:tr>
      <w:tr>
        <w:tc>
          <w:tcPr/>
          <w:p>
            <w:pPr>
              <w:pStyle w:val="Compact"/>
              <w:jc w:val="left"/>
            </w:pPr>
            <w:r>
              <w:t xml:space="preserve">OthIndRound</w:t>
            </w:r>
          </w:p>
        </w:tc>
        <w:tc>
          <w:tcPr/>
          <w:p>
            <w:pPr>
              <w:pStyle w:val="Compact"/>
              <w:jc w:val="center"/>
            </w:pPr>
            <w:r>
              <w:t xml:space="preserve">-</w:t>
            </w:r>
          </w:p>
        </w:tc>
      </w:tr>
      <w:tr>
        <w:tc>
          <w:tcPr/>
          <w:p>
            <w:pPr>
              <w:pStyle w:val="Compact"/>
              <w:jc w:val="left"/>
            </w:pPr>
            <w:r>
              <w:t xml:space="preserve">Sawnwood</w:t>
            </w:r>
          </w:p>
        </w:tc>
        <w:tc>
          <w:tcPr/>
          <w:p>
            <w:pPr>
              <w:pStyle w:val="Compact"/>
              <w:jc w:val="center"/>
            </w:pPr>
            <w:r>
              <w:t xml:space="preserve">23</w:t>
            </w:r>
          </w:p>
        </w:tc>
      </w:tr>
      <w:tr>
        <w:tc>
          <w:tcPr/>
          <w:p>
            <w:pPr>
              <w:pStyle w:val="Compact"/>
              <w:jc w:val="left"/>
            </w:pPr>
            <w:r>
              <w:t xml:space="preserve">Plywood</w:t>
            </w:r>
          </w:p>
        </w:tc>
        <w:tc>
          <w:tcPr/>
          <w:p>
            <w:pPr>
              <w:pStyle w:val="Compact"/>
              <w:jc w:val="center"/>
            </w:pPr>
            <w:r>
              <w:t xml:space="preserve">22</w:t>
            </w:r>
          </w:p>
        </w:tc>
      </w:tr>
      <w:tr>
        <w:tc>
          <w:tcPr/>
          <w:p>
            <w:pPr>
              <w:pStyle w:val="Compact"/>
              <w:jc w:val="left"/>
            </w:pPr>
            <w:r>
              <w:t xml:space="preserve">ParticleB</w:t>
            </w:r>
          </w:p>
        </w:tc>
        <w:tc>
          <w:tcPr/>
          <w:p>
            <w:pPr>
              <w:pStyle w:val="Compact"/>
              <w:jc w:val="center"/>
            </w:pPr>
            <w:r>
              <w:t xml:space="preserve">10</w:t>
            </w:r>
          </w:p>
        </w:tc>
      </w:tr>
      <w:tr>
        <w:tc>
          <w:tcPr/>
          <w:p>
            <w:pPr>
              <w:pStyle w:val="Compact"/>
              <w:jc w:val="left"/>
            </w:pPr>
            <w:r>
              <w:t xml:space="preserve">FiberB</w:t>
            </w:r>
          </w:p>
        </w:tc>
        <w:tc>
          <w:tcPr/>
          <w:p>
            <w:pPr>
              <w:pStyle w:val="Compact"/>
              <w:jc w:val="center"/>
            </w:pPr>
            <w:r>
              <w:t xml:space="preserve">15</w:t>
            </w:r>
          </w:p>
        </w:tc>
      </w:tr>
      <w:tr>
        <w:tc>
          <w:tcPr/>
          <w:p>
            <w:pPr>
              <w:pStyle w:val="Compact"/>
              <w:jc w:val="left"/>
            </w:pPr>
            <w:r>
              <w:t xml:space="preserve">MechPlp</w:t>
            </w:r>
          </w:p>
        </w:tc>
        <w:tc>
          <w:tcPr/>
          <w:p>
            <w:pPr>
              <w:pStyle w:val="Compact"/>
              <w:jc w:val="center"/>
            </w:pPr>
            <w:r>
              <w:t xml:space="preserve">37</w:t>
            </w:r>
          </w:p>
        </w:tc>
      </w:tr>
      <w:tr>
        <w:tc>
          <w:tcPr/>
          <w:p>
            <w:pPr>
              <w:pStyle w:val="Compact"/>
              <w:jc w:val="left"/>
            </w:pPr>
            <w:r>
              <w:t xml:space="preserve">ChemPlp</w:t>
            </w:r>
          </w:p>
        </w:tc>
        <w:tc>
          <w:tcPr/>
          <w:p>
            <w:pPr>
              <w:pStyle w:val="Compact"/>
              <w:jc w:val="center"/>
            </w:pPr>
            <w:r>
              <w:t xml:space="preserve">44</w:t>
            </w:r>
          </w:p>
        </w:tc>
      </w:tr>
      <w:tr>
        <w:tc>
          <w:tcPr/>
          <w:p>
            <w:pPr>
              <w:pStyle w:val="Compact"/>
              <w:jc w:val="left"/>
            </w:pPr>
            <w:r>
              <w:t xml:space="preserve">OthFbrPlp</w:t>
            </w:r>
          </w:p>
        </w:tc>
        <w:tc>
          <w:tcPr/>
          <w:p>
            <w:pPr>
              <w:pStyle w:val="Compact"/>
              <w:jc w:val="center"/>
            </w:pPr>
            <w:r>
              <w:t xml:space="preserve">109</w:t>
            </w:r>
          </w:p>
        </w:tc>
      </w:tr>
      <w:tr>
        <w:tc>
          <w:tcPr/>
          <w:p>
            <w:pPr>
              <w:pStyle w:val="Compact"/>
              <w:jc w:val="left"/>
            </w:pPr>
            <w:r>
              <w:t xml:space="preserve">WastePaper</w:t>
            </w:r>
          </w:p>
        </w:tc>
        <w:tc>
          <w:tcPr/>
          <w:p>
            <w:pPr>
              <w:pStyle w:val="Compact"/>
              <w:jc w:val="center"/>
            </w:pPr>
            <w:r>
              <w:t xml:space="preserve">33</w:t>
            </w:r>
          </w:p>
        </w:tc>
      </w:tr>
      <w:tr>
        <w:tc>
          <w:tcPr/>
          <w:p>
            <w:pPr>
              <w:pStyle w:val="Compact"/>
              <w:jc w:val="left"/>
            </w:pPr>
            <w:r>
              <w:t xml:space="preserve">Newsprint</w:t>
            </w:r>
          </w:p>
        </w:tc>
        <w:tc>
          <w:tcPr/>
          <w:p>
            <w:pPr>
              <w:pStyle w:val="Compact"/>
              <w:jc w:val="center"/>
            </w:pPr>
            <w:r>
              <w:t xml:space="preserve">28</w:t>
            </w:r>
          </w:p>
        </w:tc>
      </w:tr>
      <w:tr>
        <w:tc>
          <w:tcPr/>
          <w:p>
            <w:pPr>
              <w:pStyle w:val="Compact"/>
              <w:jc w:val="left"/>
            </w:pPr>
            <w:r>
              <w:t xml:space="preserve">PWPaper</w:t>
            </w:r>
          </w:p>
        </w:tc>
        <w:tc>
          <w:tcPr/>
          <w:p>
            <w:pPr>
              <w:pStyle w:val="Compact"/>
              <w:jc w:val="center"/>
            </w:pPr>
            <w:r>
              <w:t xml:space="preserve">52</w:t>
            </w:r>
          </w:p>
        </w:tc>
      </w:tr>
      <w:tr>
        <w:tc>
          <w:tcPr/>
          <w:p>
            <w:pPr>
              <w:pStyle w:val="Compact"/>
              <w:jc w:val="left"/>
            </w:pPr>
            <w:r>
              <w:t xml:space="preserve">OthPaper</w:t>
            </w:r>
          </w:p>
        </w:tc>
        <w:tc>
          <w:tcPr/>
          <w:p>
            <w:pPr>
              <w:pStyle w:val="Compact"/>
              <w:jc w:val="center"/>
            </w:pPr>
            <w:r>
              <w:t xml:space="preserve">55</w:t>
            </w:r>
          </w:p>
        </w:tc>
      </w:tr>
      <w:tr>
        <w:tc>
          <w:tcPr/>
          <w:p>
            <w:pPr>
              <w:pStyle w:val="Compact"/>
            </w:pPr>
          </w:p>
        </w:tc>
        <w:tc>
          <w:tcPr/>
          <w:p>
            <w:pPr>
              <w:pStyle w:val="Compact"/>
            </w:pPr>
          </w:p>
        </w:tc>
      </w:tr>
      <w:tr>
        <w:tc>
          <w:tcPr/>
          <w:p>
            <w:pPr>
              <w:pStyle w:val="Compact"/>
              <w:jc w:val="left"/>
            </w:pPr>
            <w:r>
              <w:t xml:space="preserve">IndRoundNC</w:t>
            </w:r>
          </w:p>
        </w:tc>
        <w:tc>
          <w:tcPr/>
          <w:p>
            <w:pPr>
              <w:pStyle w:val="Compact"/>
              <w:jc w:val="center"/>
            </w:pPr>
            <w:r>
              <w:t xml:space="preserve">37</w:t>
            </w:r>
          </w:p>
        </w:tc>
      </w:tr>
      <w:tr>
        <w:tc>
          <w:tcPr/>
          <w:p>
            <w:pPr>
              <w:pStyle w:val="Compact"/>
              <w:jc w:val="left"/>
            </w:pPr>
            <w:r>
              <w:t xml:space="preserve">IndRound</w:t>
            </w:r>
          </w:p>
        </w:tc>
        <w:tc>
          <w:tcPr/>
          <w:p>
            <w:pPr>
              <w:pStyle w:val="Compact"/>
              <w:jc w:val="center"/>
            </w:pPr>
            <w:r>
              <w:t xml:space="preserve">20</w:t>
            </w:r>
          </w:p>
        </w:tc>
      </w:tr>
      <w:tr>
        <w:tc>
          <w:tcPr/>
          <w:p>
            <w:pPr>
              <w:pStyle w:val="Compact"/>
              <w:jc w:val="left"/>
            </w:pPr>
            <w:r>
              <w:t xml:space="preserve">Newsprint</w:t>
            </w:r>
          </w:p>
        </w:tc>
        <w:tc>
          <w:tcPr/>
          <w:p>
            <w:pPr>
              <w:pStyle w:val="Compact"/>
              <w:jc w:val="center"/>
            </w:pPr>
            <w:r>
              <w:t xml:space="preserve">22</w:t>
            </w:r>
          </w:p>
        </w:tc>
      </w:tr>
    </w:tbl>
    <w:p>
      <w:pPr>
        <w:pStyle w:val="BodyText"/>
      </w:pPr>
    </w:p>
    <w:p>
      <w:pPr>
        <w:pStyle w:val="BodyText"/>
      </w:pPr>
      <w:r>
        <w:rPr>
          <w:b/>
          <w:bCs/>
        </w:rPr>
        <w:t xml:space="preserve">Table A2:</w:t>
      </w:r>
      <w:r>
        <w:t xml:space="preserve"> </w:t>
      </w:r>
      <w:r>
        <w:t xml:space="preserve">ISO3-Codes of the 180 countries included into TiMBA grouped in continental aggregates</w:t>
      </w:r>
    </w:p>
    <w:tbl>
      <w:tblPr>
        <w:tblStyle w:val="Table"/>
        <w:tblW w:type="pct" w:w="5000"/>
        <w:tblLayout w:type="fixed"/>
        <w:tblLook w:firstRow="1" w:lastRow="0" w:firstColumn="0" w:lastColumn="0" w:noHBand="0" w:noVBand="0" w:val="0020"/>
      </w:tblPr>
      <w:tblGrid>
        <w:gridCol w:w="802"/>
        <w:gridCol w:w="601"/>
        <w:gridCol w:w="802"/>
        <w:gridCol w:w="3208"/>
        <w:gridCol w:w="902"/>
        <w:gridCol w:w="1604"/>
      </w:tblGrid>
      <w:tr>
        <w:trPr>
          <w:tblHeader w:val="on"/>
        </w:trPr>
        <w:tc>
          <w:tcPr/>
          <w:p>
            <w:pPr>
              <w:pStyle w:val="Compact"/>
              <w:jc w:val="center"/>
            </w:pPr>
            <w:r>
              <w:t xml:space="preserve">Africa</w:t>
            </w:r>
          </w:p>
        </w:tc>
        <w:tc>
          <w:tcPr/>
          <w:p>
            <w:pPr>
              <w:pStyle w:val="Compact"/>
              <w:jc w:val="center"/>
            </w:pPr>
            <w:r>
              <w:t xml:space="preserve">Asia</w:t>
            </w:r>
          </w:p>
        </w:tc>
        <w:tc>
          <w:tcPr/>
          <w:p>
            <w:pPr>
              <w:pStyle w:val="Compact"/>
              <w:jc w:val="center"/>
            </w:pPr>
            <w:r>
              <w:t xml:space="preserve">Europe</w:t>
            </w:r>
          </w:p>
        </w:tc>
        <w:tc>
          <w:tcPr/>
          <w:p>
            <w:pPr>
              <w:pStyle w:val="Compact"/>
              <w:jc w:val="center"/>
            </w:pPr>
            <w:r>
              <w:t xml:space="preserve">North and</w:t>
            </w:r>
            <w:r>
              <w:t xml:space="preserve"> </w:t>
            </w:r>
            <w:r>
              <w:t xml:space="preserve">Central America</w:t>
            </w:r>
          </w:p>
        </w:tc>
        <w:tc>
          <w:tcPr/>
          <w:p>
            <w:pPr>
              <w:pStyle w:val="Compact"/>
              <w:jc w:val="center"/>
            </w:pPr>
            <w:r>
              <w:t xml:space="preserve">Oceania</w:t>
            </w:r>
          </w:p>
        </w:tc>
        <w:tc>
          <w:tcPr/>
          <w:p>
            <w:pPr>
              <w:pStyle w:val="Compact"/>
              <w:jc w:val="center"/>
            </w:pPr>
            <w:r>
              <w:t xml:space="preserve">South America</w:t>
            </w:r>
          </w:p>
        </w:tc>
      </w:tr>
      <w:tr>
        <w:tc>
          <w:tcPr/>
          <w:p>
            <w:pPr>
              <w:pStyle w:val="Compact"/>
              <w:jc w:val="center"/>
            </w:pPr>
            <w:r>
              <w:t xml:space="preserve">AGO</w:t>
            </w:r>
          </w:p>
        </w:tc>
        <w:tc>
          <w:tcPr/>
          <w:p>
            <w:pPr>
              <w:pStyle w:val="Compact"/>
              <w:jc w:val="center"/>
            </w:pPr>
            <w:r>
              <w:t xml:space="preserve">AFG</w:t>
            </w:r>
          </w:p>
        </w:tc>
        <w:tc>
          <w:tcPr/>
          <w:p>
            <w:pPr>
              <w:pStyle w:val="Compact"/>
              <w:jc w:val="center"/>
            </w:pPr>
            <w:r>
              <w:t xml:space="preserve">ALB</w:t>
            </w:r>
          </w:p>
        </w:tc>
        <w:tc>
          <w:tcPr/>
          <w:p>
            <w:pPr>
              <w:pStyle w:val="Compact"/>
              <w:jc w:val="center"/>
            </w:pPr>
            <w:r>
              <w:t xml:space="preserve">ANT</w:t>
            </w:r>
          </w:p>
        </w:tc>
        <w:tc>
          <w:tcPr/>
          <w:p>
            <w:pPr>
              <w:pStyle w:val="Compact"/>
              <w:jc w:val="center"/>
            </w:pPr>
            <w:r>
              <w:t xml:space="preserve">AUS</w:t>
            </w:r>
          </w:p>
        </w:tc>
        <w:tc>
          <w:tcPr/>
          <w:p>
            <w:pPr>
              <w:pStyle w:val="Compact"/>
              <w:jc w:val="center"/>
            </w:pPr>
            <w:r>
              <w:t xml:space="preserve">ARG</w:t>
            </w:r>
          </w:p>
        </w:tc>
      </w:tr>
      <w:tr>
        <w:tc>
          <w:tcPr/>
          <w:p>
            <w:pPr>
              <w:pStyle w:val="Compact"/>
              <w:jc w:val="center"/>
            </w:pPr>
            <w:r>
              <w:t xml:space="preserve">BDI</w:t>
            </w:r>
          </w:p>
        </w:tc>
        <w:tc>
          <w:tcPr/>
          <w:p>
            <w:pPr>
              <w:pStyle w:val="Compact"/>
              <w:jc w:val="center"/>
            </w:pPr>
            <w:r>
              <w:t xml:space="preserve">ARE</w:t>
            </w:r>
          </w:p>
        </w:tc>
        <w:tc>
          <w:tcPr/>
          <w:p>
            <w:pPr>
              <w:pStyle w:val="Compact"/>
              <w:jc w:val="center"/>
            </w:pPr>
            <w:r>
              <w:t xml:space="preserve">AUT</w:t>
            </w:r>
          </w:p>
        </w:tc>
        <w:tc>
          <w:tcPr/>
          <w:p>
            <w:pPr>
              <w:pStyle w:val="Compact"/>
              <w:jc w:val="center"/>
            </w:pPr>
            <w:r>
              <w:t xml:space="preserve">BHS</w:t>
            </w:r>
          </w:p>
        </w:tc>
        <w:tc>
          <w:tcPr/>
          <w:p>
            <w:pPr>
              <w:pStyle w:val="Compact"/>
              <w:jc w:val="center"/>
            </w:pPr>
            <w:r>
              <w:t xml:space="preserve">COK</w:t>
            </w:r>
          </w:p>
        </w:tc>
        <w:tc>
          <w:tcPr/>
          <w:p>
            <w:pPr>
              <w:pStyle w:val="Compact"/>
              <w:jc w:val="center"/>
            </w:pPr>
            <w:r>
              <w:t xml:space="preserve">BOL</w:t>
            </w:r>
          </w:p>
        </w:tc>
      </w:tr>
      <w:tr>
        <w:tc>
          <w:tcPr/>
          <w:p>
            <w:pPr>
              <w:pStyle w:val="Compact"/>
              <w:jc w:val="center"/>
            </w:pPr>
            <w:r>
              <w:t xml:space="preserve">BEN</w:t>
            </w:r>
          </w:p>
        </w:tc>
        <w:tc>
          <w:tcPr/>
          <w:p>
            <w:pPr>
              <w:pStyle w:val="Compact"/>
              <w:jc w:val="center"/>
            </w:pPr>
            <w:r>
              <w:t xml:space="preserve">BGD</w:t>
            </w:r>
          </w:p>
        </w:tc>
        <w:tc>
          <w:tcPr/>
          <w:p>
            <w:pPr>
              <w:pStyle w:val="Compact"/>
              <w:jc w:val="center"/>
            </w:pPr>
            <w:r>
              <w:t xml:space="preserve">BEL</w:t>
            </w:r>
          </w:p>
        </w:tc>
        <w:tc>
          <w:tcPr/>
          <w:p>
            <w:pPr>
              <w:pStyle w:val="Compact"/>
              <w:jc w:val="center"/>
            </w:pPr>
            <w:r>
              <w:t xml:space="preserve">BLZ</w:t>
            </w:r>
          </w:p>
        </w:tc>
        <w:tc>
          <w:tcPr/>
          <w:p>
            <w:pPr>
              <w:pStyle w:val="Compact"/>
              <w:jc w:val="center"/>
            </w:pPr>
            <w:r>
              <w:t xml:space="preserve">FJI</w:t>
            </w:r>
          </w:p>
        </w:tc>
        <w:tc>
          <w:tcPr/>
          <w:p>
            <w:pPr>
              <w:pStyle w:val="Compact"/>
              <w:jc w:val="center"/>
            </w:pPr>
            <w:r>
              <w:t xml:space="preserve">BRA</w:t>
            </w:r>
          </w:p>
        </w:tc>
      </w:tr>
      <w:tr>
        <w:tc>
          <w:tcPr/>
          <w:p>
            <w:pPr>
              <w:pStyle w:val="Compact"/>
              <w:jc w:val="center"/>
            </w:pPr>
            <w:r>
              <w:t xml:space="preserve">BFA</w:t>
            </w:r>
          </w:p>
        </w:tc>
        <w:tc>
          <w:tcPr/>
          <w:p>
            <w:pPr>
              <w:pStyle w:val="Compact"/>
              <w:jc w:val="center"/>
            </w:pPr>
            <w:r>
              <w:t xml:space="preserve">BHR</w:t>
            </w:r>
          </w:p>
        </w:tc>
        <w:tc>
          <w:tcPr/>
          <w:p>
            <w:pPr>
              <w:pStyle w:val="Compact"/>
              <w:jc w:val="center"/>
            </w:pPr>
            <w:r>
              <w:t xml:space="preserve">BGR</w:t>
            </w:r>
          </w:p>
        </w:tc>
        <w:tc>
          <w:tcPr/>
          <w:p>
            <w:pPr>
              <w:pStyle w:val="Compact"/>
              <w:jc w:val="center"/>
            </w:pPr>
            <w:r>
              <w:t xml:space="preserve">BRB</w:t>
            </w:r>
          </w:p>
        </w:tc>
        <w:tc>
          <w:tcPr/>
          <w:p>
            <w:pPr>
              <w:pStyle w:val="Compact"/>
              <w:jc w:val="center"/>
            </w:pPr>
            <w:r>
              <w:t xml:space="preserve">NCL</w:t>
            </w:r>
          </w:p>
        </w:tc>
        <w:tc>
          <w:tcPr/>
          <w:p>
            <w:pPr>
              <w:pStyle w:val="Compact"/>
              <w:jc w:val="center"/>
            </w:pPr>
            <w:r>
              <w:t xml:space="preserve">CHL</w:t>
            </w:r>
          </w:p>
        </w:tc>
      </w:tr>
      <w:tr>
        <w:tc>
          <w:tcPr/>
          <w:p>
            <w:pPr>
              <w:pStyle w:val="Compact"/>
              <w:jc w:val="center"/>
            </w:pPr>
            <w:r>
              <w:t xml:space="preserve">BWA</w:t>
            </w:r>
          </w:p>
        </w:tc>
        <w:tc>
          <w:tcPr/>
          <w:p>
            <w:pPr>
              <w:pStyle w:val="Compact"/>
              <w:jc w:val="center"/>
            </w:pPr>
            <w:r>
              <w:t xml:space="preserve">BRN</w:t>
            </w:r>
          </w:p>
        </w:tc>
        <w:tc>
          <w:tcPr/>
          <w:p>
            <w:pPr>
              <w:pStyle w:val="Compact"/>
              <w:jc w:val="center"/>
            </w:pPr>
            <w:r>
              <w:t xml:space="preserve">BIH</w:t>
            </w:r>
          </w:p>
        </w:tc>
        <w:tc>
          <w:tcPr/>
          <w:p>
            <w:pPr>
              <w:pStyle w:val="Compact"/>
              <w:jc w:val="center"/>
            </w:pPr>
            <w:r>
              <w:t xml:space="preserve">CAN</w:t>
            </w:r>
          </w:p>
        </w:tc>
        <w:tc>
          <w:tcPr/>
          <w:p>
            <w:pPr>
              <w:pStyle w:val="Compact"/>
              <w:jc w:val="center"/>
            </w:pPr>
            <w:r>
              <w:t xml:space="preserve">NZL</w:t>
            </w:r>
          </w:p>
        </w:tc>
        <w:tc>
          <w:tcPr/>
          <w:p>
            <w:pPr>
              <w:pStyle w:val="Compact"/>
              <w:jc w:val="center"/>
            </w:pPr>
            <w:r>
              <w:t xml:space="preserve">COL</w:t>
            </w:r>
          </w:p>
        </w:tc>
      </w:tr>
      <w:tr>
        <w:tc>
          <w:tcPr/>
          <w:p>
            <w:pPr>
              <w:pStyle w:val="Compact"/>
              <w:jc w:val="center"/>
            </w:pPr>
            <w:r>
              <w:t xml:space="preserve">CAF</w:t>
            </w:r>
          </w:p>
        </w:tc>
        <w:tc>
          <w:tcPr/>
          <w:p>
            <w:pPr>
              <w:pStyle w:val="Compact"/>
              <w:jc w:val="center"/>
            </w:pPr>
            <w:r>
              <w:t xml:space="preserve">BTN</w:t>
            </w:r>
          </w:p>
        </w:tc>
        <w:tc>
          <w:tcPr/>
          <w:p>
            <w:pPr>
              <w:pStyle w:val="Compact"/>
              <w:jc w:val="center"/>
            </w:pPr>
            <w:r>
              <w:t xml:space="preserve">CHE</w:t>
            </w:r>
          </w:p>
        </w:tc>
        <w:tc>
          <w:tcPr/>
          <w:p>
            <w:pPr>
              <w:pStyle w:val="Compact"/>
              <w:jc w:val="center"/>
            </w:pPr>
            <w:r>
              <w:t xml:space="preserve">CRI</w:t>
            </w:r>
          </w:p>
        </w:tc>
        <w:tc>
          <w:tcPr/>
          <w:p>
            <w:pPr>
              <w:pStyle w:val="Compact"/>
              <w:jc w:val="center"/>
            </w:pPr>
            <w:r>
              <w:t xml:space="preserve">PNG</w:t>
            </w:r>
          </w:p>
        </w:tc>
        <w:tc>
          <w:tcPr/>
          <w:p>
            <w:pPr>
              <w:pStyle w:val="Compact"/>
              <w:jc w:val="center"/>
            </w:pPr>
            <w:r>
              <w:t xml:space="preserve">ECU</w:t>
            </w:r>
          </w:p>
        </w:tc>
      </w:tr>
      <w:tr>
        <w:tc>
          <w:tcPr/>
          <w:p>
            <w:pPr>
              <w:pStyle w:val="Compact"/>
              <w:jc w:val="center"/>
            </w:pPr>
            <w:r>
              <w:t xml:space="preserve">CIV</w:t>
            </w:r>
          </w:p>
        </w:tc>
        <w:tc>
          <w:tcPr/>
          <w:p>
            <w:pPr>
              <w:pStyle w:val="Compact"/>
              <w:jc w:val="center"/>
            </w:pPr>
            <w:r>
              <w:t xml:space="preserve">CHN</w:t>
            </w:r>
          </w:p>
        </w:tc>
        <w:tc>
          <w:tcPr/>
          <w:p>
            <w:pPr>
              <w:pStyle w:val="Compact"/>
              <w:jc w:val="center"/>
            </w:pPr>
            <w:r>
              <w:t xml:space="preserve">CZE</w:t>
            </w:r>
          </w:p>
        </w:tc>
        <w:tc>
          <w:tcPr/>
          <w:p>
            <w:pPr>
              <w:pStyle w:val="Compact"/>
              <w:jc w:val="center"/>
            </w:pPr>
            <w:r>
              <w:t xml:space="preserve">CUB</w:t>
            </w:r>
          </w:p>
        </w:tc>
        <w:tc>
          <w:tcPr/>
          <w:p>
            <w:pPr>
              <w:pStyle w:val="Compact"/>
              <w:jc w:val="center"/>
            </w:pPr>
            <w:r>
              <w:t xml:space="preserve">PYF</w:t>
            </w:r>
          </w:p>
        </w:tc>
        <w:tc>
          <w:tcPr/>
          <w:p>
            <w:pPr>
              <w:pStyle w:val="Compact"/>
              <w:jc w:val="center"/>
            </w:pPr>
            <w:r>
              <w:t xml:space="preserve">GUF</w:t>
            </w:r>
          </w:p>
        </w:tc>
      </w:tr>
      <w:tr>
        <w:tc>
          <w:tcPr/>
          <w:p>
            <w:pPr>
              <w:pStyle w:val="Compact"/>
              <w:jc w:val="center"/>
            </w:pPr>
            <w:r>
              <w:t xml:space="preserve">CMR</w:t>
            </w:r>
          </w:p>
        </w:tc>
        <w:tc>
          <w:tcPr/>
          <w:p>
            <w:pPr>
              <w:pStyle w:val="Compact"/>
              <w:jc w:val="center"/>
            </w:pPr>
            <w:r>
              <w:t xml:space="preserve">CYP</w:t>
            </w:r>
          </w:p>
        </w:tc>
        <w:tc>
          <w:tcPr/>
          <w:p>
            <w:pPr>
              <w:pStyle w:val="Compact"/>
              <w:jc w:val="center"/>
            </w:pPr>
            <w:r>
              <w:t xml:space="preserve">DEU</w:t>
            </w:r>
          </w:p>
        </w:tc>
        <w:tc>
          <w:tcPr/>
          <w:p>
            <w:pPr>
              <w:pStyle w:val="Compact"/>
              <w:jc w:val="center"/>
            </w:pPr>
            <w:r>
              <w:t xml:space="preserve">DMA</w:t>
            </w:r>
          </w:p>
        </w:tc>
        <w:tc>
          <w:tcPr/>
          <w:p>
            <w:pPr>
              <w:pStyle w:val="Compact"/>
              <w:jc w:val="center"/>
            </w:pPr>
            <w:r>
              <w:t xml:space="preserve">SLB</w:t>
            </w:r>
          </w:p>
        </w:tc>
        <w:tc>
          <w:tcPr/>
          <w:p>
            <w:pPr>
              <w:pStyle w:val="Compact"/>
              <w:jc w:val="center"/>
            </w:pPr>
            <w:r>
              <w:t xml:space="preserve">GUY</w:t>
            </w:r>
          </w:p>
        </w:tc>
      </w:tr>
      <w:tr>
        <w:tc>
          <w:tcPr/>
          <w:p>
            <w:pPr>
              <w:pStyle w:val="Compact"/>
              <w:jc w:val="center"/>
            </w:pPr>
            <w:r>
              <w:t xml:space="preserve">COD</w:t>
            </w:r>
          </w:p>
        </w:tc>
        <w:tc>
          <w:tcPr/>
          <w:p>
            <w:pPr>
              <w:pStyle w:val="Compact"/>
              <w:jc w:val="center"/>
            </w:pPr>
            <w:r>
              <w:t xml:space="preserve">IDN</w:t>
            </w:r>
          </w:p>
        </w:tc>
        <w:tc>
          <w:tcPr/>
          <w:p>
            <w:pPr>
              <w:pStyle w:val="Compact"/>
              <w:jc w:val="center"/>
            </w:pPr>
            <w:r>
              <w:t xml:space="preserve">DNK</w:t>
            </w:r>
          </w:p>
        </w:tc>
        <w:tc>
          <w:tcPr/>
          <w:p>
            <w:pPr>
              <w:pStyle w:val="Compact"/>
              <w:jc w:val="center"/>
            </w:pPr>
            <w:r>
              <w:t xml:space="preserve">DOM</w:t>
            </w:r>
          </w:p>
        </w:tc>
        <w:tc>
          <w:tcPr/>
          <w:p>
            <w:pPr>
              <w:pStyle w:val="Compact"/>
              <w:jc w:val="center"/>
            </w:pPr>
            <w:r>
              <w:t xml:space="preserve">TON</w:t>
            </w:r>
          </w:p>
        </w:tc>
        <w:tc>
          <w:tcPr/>
          <w:p>
            <w:pPr>
              <w:pStyle w:val="Compact"/>
              <w:jc w:val="center"/>
            </w:pPr>
            <w:r>
              <w:t xml:space="preserve">PER</w:t>
            </w:r>
          </w:p>
        </w:tc>
      </w:tr>
      <w:tr>
        <w:tc>
          <w:tcPr/>
          <w:p>
            <w:pPr>
              <w:pStyle w:val="Compact"/>
              <w:jc w:val="center"/>
            </w:pPr>
            <w:r>
              <w:t xml:space="preserve">COG</w:t>
            </w:r>
          </w:p>
        </w:tc>
        <w:tc>
          <w:tcPr/>
          <w:p>
            <w:pPr>
              <w:pStyle w:val="Compact"/>
              <w:jc w:val="center"/>
            </w:pPr>
            <w:r>
              <w:t xml:space="preserve">IND</w:t>
            </w:r>
          </w:p>
        </w:tc>
        <w:tc>
          <w:tcPr/>
          <w:p>
            <w:pPr>
              <w:pStyle w:val="Compact"/>
              <w:jc w:val="center"/>
            </w:pPr>
            <w:r>
              <w:t xml:space="preserve">ESP</w:t>
            </w:r>
          </w:p>
        </w:tc>
        <w:tc>
          <w:tcPr/>
          <w:p>
            <w:pPr>
              <w:pStyle w:val="Compact"/>
              <w:jc w:val="center"/>
            </w:pPr>
            <w:r>
              <w:t xml:space="preserve">GTM</w:t>
            </w:r>
          </w:p>
        </w:tc>
        <w:tc>
          <w:tcPr/>
          <w:p>
            <w:pPr>
              <w:pStyle w:val="Compact"/>
              <w:jc w:val="center"/>
            </w:pPr>
            <w:r>
              <w:t xml:space="preserve">VUT</w:t>
            </w:r>
          </w:p>
        </w:tc>
        <w:tc>
          <w:tcPr/>
          <w:p>
            <w:pPr>
              <w:pStyle w:val="Compact"/>
              <w:jc w:val="center"/>
            </w:pPr>
            <w:r>
              <w:t xml:space="preserve">PRY</w:t>
            </w:r>
          </w:p>
        </w:tc>
      </w:tr>
      <w:tr>
        <w:tc>
          <w:tcPr/>
          <w:p>
            <w:pPr>
              <w:pStyle w:val="Compact"/>
              <w:jc w:val="center"/>
            </w:pPr>
            <w:r>
              <w:t xml:space="preserve">CPV</w:t>
            </w:r>
          </w:p>
        </w:tc>
        <w:tc>
          <w:tcPr/>
          <w:p>
            <w:pPr>
              <w:pStyle w:val="Compact"/>
              <w:jc w:val="center"/>
            </w:pPr>
            <w:r>
              <w:t xml:space="preserve">IRN</w:t>
            </w:r>
          </w:p>
        </w:tc>
        <w:tc>
          <w:tcPr/>
          <w:p>
            <w:pPr>
              <w:pStyle w:val="Compact"/>
              <w:jc w:val="center"/>
            </w:pPr>
            <w:r>
              <w:t xml:space="preserve">FIN</w:t>
            </w:r>
          </w:p>
        </w:tc>
        <w:tc>
          <w:tcPr/>
          <w:p>
            <w:pPr>
              <w:pStyle w:val="Compact"/>
              <w:jc w:val="center"/>
            </w:pPr>
            <w:r>
              <w:t xml:space="preserve">HND</w:t>
            </w:r>
          </w:p>
        </w:tc>
        <w:tc>
          <w:tcPr/>
          <w:p>
            <w:pPr>
              <w:pStyle w:val="Compact"/>
              <w:jc w:val="center"/>
            </w:pPr>
            <w:r>
              <w:t xml:space="preserve">WSM</w:t>
            </w:r>
          </w:p>
        </w:tc>
        <w:tc>
          <w:tcPr/>
          <w:p>
            <w:pPr>
              <w:pStyle w:val="Compact"/>
              <w:jc w:val="center"/>
            </w:pPr>
            <w:r>
              <w:t xml:space="preserve">SUR</w:t>
            </w:r>
          </w:p>
        </w:tc>
      </w:tr>
      <w:tr>
        <w:tc>
          <w:tcPr/>
          <w:p>
            <w:pPr>
              <w:pStyle w:val="Compact"/>
              <w:jc w:val="center"/>
            </w:pPr>
            <w:r>
              <w:t xml:space="preserve">DJI</w:t>
            </w:r>
          </w:p>
        </w:tc>
        <w:tc>
          <w:tcPr/>
          <w:p>
            <w:pPr>
              <w:pStyle w:val="Compact"/>
              <w:jc w:val="center"/>
            </w:pPr>
            <w:r>
              <w:t xml:space="preserve">IRQ</w:t>
            </w:r>
          </w:p>
        </w:tc>
        <w:tc>
          <w:tcPr/>
          <w:p>
            <w:pPr>
              <w:pStyle w:val="Compact"/>
              <w:jc w:val="center"/>
            </w:pPr>
            <w:r>
              <w:t xml:space="preserve">FRA</w:t>
            </w:r>
          </w:p>
        </w:tc>
        <w:tc>
          <w:tcPr/>
          <w:p>
            <w:pPr>
              <w:pStyle w:val="Compact"/>
              <w:jc w:val="center"/>
            </w:pPr>
            <w:r>
              <w:t xml:space="preserve">HTI</w:t>
            </w:r>
          </w:p>
        </w:tc>
        <w:tc>
          <w:tcPr/>
          <w:p>
            <w:pPr>
              <w:pStyle w:val="Compact"/>
              <w:jc w:val="center"/>
            </w:pPr>
            <w:r>
              <w:t xml:space="preserve">URY</w:t>
            </w:r>
          </w:p>
        </w:tc>
        <w:tc>
          <w:tcPr/>
          <w:p>
            <w:pPr>
              <w:pStyle w:val="Compact"/>
            </w:pPr>
          </w:p>
        </w:tc>
      </w:tr>
      <w:tr>
        <w:tc>
          <w:tcPr/>
          <w:p>
            <w:pPr>
              <w:pStyle w:val="Compact"/>
              <w:jc w:val="center"/>
            </w:pPr>
            <w:r>
              <w:t xml:space="preserve">DZA</w:t>
            </w:r>
          </w:p>
        </w:tc>
        <w:tc>
          <w:tcPr/>
          <w:p>
            <w:pPr>
              <w:pStyle w:val="Compact"/>
              <w:jc w:val="center"/>
            </w:pPr>
            <w:r>
              <w:t xml:space="preserve">ISR</w:t>
            </w:r>
          </w:p>
        </w:tc>
        <w:tc>
          <w:tcPr/>
          <w:p>
            <w:pPr>
              <w:pStyle w:val="Compact"/>
              <w:jc w:val="center"/>
            </w:pPr>
            <w:r>
              <w:t xml:space="preserve">GBR</w:t>
            </w:r>
          </w:p>
        </w:tc>
        <w:tc>
          <w:tcPr/>
          <w:p>
            <w:pPr>
              <w:pStyle w:val="Compact"/>
              <w:jc w:val="center"/>
            </w:pPr>
            <w:r>
              <w:t xml:space="preserve">JAM</w:t>
            </w:r>
          </w:p>
        </w:tc>
        <w:tc>
          <w:tcPr/>
          <w:p>
            <w:pPr>
              <w:pStyle w:val="Compact"/>
              <w:jc w:val="center"/>
            </w:pPr>
            <w:r>
              <w:t xml:space="preserve">VEN</w:t>
            </w:r>
          </w:p>
        </w:tc>
        <w:tc>
          <w:tcPr/>
          <w:p>
            <w:pPr>
              <w:pStyle w:val="Compact"/>
            </w:pPr>
          </w:p>
        </w:tc>
      </w:tr>
      <w:tr>
        <w:tc>
          <w:tcPr/>
          <w:p>
            <w:pPr>
              <w:pStyle w:val="Compact"/>
              <w:jc w:val="center"/>
            </w:pPr>
            <w:r>
              <w:t xml:space="preserve">EGY</w:t>
            </w:r>
          </w:p>
        </w:tc>
        <w:tc>
          <w:tcPr/>
          <w:p>
            <w:pPr>
              <w:pStyle w:val="Compact"/>
              <w:jc w:val="center"/>
            </w:pPr>
            <w:r>
              <w:t xml:space="preserve">JOR</w:t>
            </w:r>
          </w:p>
        </w:tc>
        <w:tc>
          <w:tcPr/>
          <w:p>
            <w:pPr>
              <w:pStyle w:val="Compact"/>
              <w:jc w:val="center"/>
            </w:pPr>
            <w:r>
              <w:t xml:space="preserve">GRC</w:t>
            </w:r>
          </w:p>
        </w:tc>
        <w:tc>
          <w:tcPr/>
          <w:p>
            <w:pPr>
              <w:pStyle w:val="Compact"/>
              <w:jc w:val="center"/>
            </w:pPr>
            <w:r>
              <w:t xml:space="preserve">LCA</w:t>
            </w:r>
          </w:p>
        </w:tc>
        <w:tc>
          <w:tcPr/>
          <w:p>
            <w:pPr>
              <w:pStyle w:val="Compact"/>
            </w:pPr>
          </w:p>
        </w:tc>
        <w:tc>
          <w:tcPr/>
          <w:p>
            <w:pPr>
              <w:pStyle w:val="Compact"/>
            </w:pPr>
          </w:p>
        </w:tc>
      </w:tr>
      <w:tr>
        <w:tc>
          <w:tcPr/>
          <w:p>
            <w:pPr>
              <w:pStyle w:val="Compact"/>
              <w:jc w:val="center"/>
            </w:pPr>
            <w:r>
              <w:t xml:space="preserve">ETH</w:t>
            </w:r>
          </w:p>
        </w:tc>
        <w:tc>
          <w:tcPr/>
          <w:p>
            <w:pPr>
              <w:pStyle w:val="Compact"/>
              <w:jc w:val="center"/>
            </w:pPr>
            <w:r>
              <w:t xml:space="preserve">JPN</w:t>
            </w:r>
          </w:p>
        </w:tc>
        <w:tc>
          <w:tcPr/>
          <w:p>
            <w:pPr>
              <w:pStyle w:val="Compact"/>
              <w:jc w:val="center"/>
            </w:pPr>
            <w:r>
              <w:t xml:space="preserve">HRV</w:t>
            </w:r>
          </w:p>
        </w:tc>
        <w:tc>
          <w:tcPr/>
          <w:p>
            <w:pPr>
              <w:pStyle w:val="Compact"/>
              <w:jc w:val="center"/>
            </w:pPr>
            <w:r>
              <w:t xml:space="preserve">MEX</w:t>
            </w:r>
          </w:p>
        </w:tc>
        <w:tc>
          <w:tcPr/>
          <w:p>
            <w:pPr>
              <w:pStyle w:val="Compact"/>
            </w:pPr>
          </w:p>
        </w:tc>
        <w:tc>
          <w:tcPr/>
          <w:p>
            <w:pPr>
              <w:pStyle w:val="Compact"/>
            </w:pPr>
          </w:p>
        </w:tc>
      </w:tr>
      <w:tr>
        <w:tc>
          <w:tcPr/>
          <w:p>
            <w:pPr>
              <w:pStyle w:val="Compact"/>
              <w:jc w:val="center"/>
            </w:pPr>
            <w:r>
              <w:t xml:space="preserve">GAB</w:t>
            </w:r>
          </w:p>
        </w:tc>
        <w:tc>
          <w:tcPr/>
          <w:p>
            <w:pPr>
              <w:pStyle w:val="Compact"/>
              <w:jc w:val="center"/>
            </w:pPr>
            <w:r>
              <w:t xml:space="preserve">KHM</w:t>
            </w:r>
          </w:p>
        </w:tc>
        <w:tc>
          <w:tcPr/>
          <w:p>
            <w:pPr>
              <w:pStyle w:val="Compact"/>
              <w:jc w:val="center"/>
            </w:pPr>
            <w:r>
              <w:t xml:space="preserve">HUN</w:t>
            </w:r>
          </w:p>
        </w:tc>
        <w:tc>
          <w:tcPr/>
          <w:p>
            <w:pPr>
              <w:pStyle w:val="Compact"/>
              <w:jc w:val="center"/>
            </w:pPr>
            <w:r>
              <w:t xml:space="preserve">MTQ</w:t>
            </w:r>
          </w:p>
        </w:tc>
        <w:tc>
          <w:tcPr/>
          <w:p>
            <w:pPr>
              <w:pStyle w:val="Compact"/>
            </w:pPr>
          </w:p>
        </w:tc>
        <w:tc>
          <w:tcPr/>
          <w:p>
            <w:pPr>
              <w:pStyle w:val="Compact"/>
            </w:pPr>
          </w:p>
        </w:tc>
      </w:tr>
      <w:tr>
        <w:tc>
          <w:tcPr/>
          <w:p>
            <w:pPr>
              <w:pStyle w:val="Compact"/>
              <w:jc w:val="center"/>
            </w:pPr>
            <w:r>
              <w:t xml:space="preserve">GHA</w:t>
            </w:r>
          </w:p>
        </w:tc>
        <w:tc>
          <w:tcPr/>
          <w:p>
            <w:pPr>
              <w:pStyle w:val="Compact"/>
              <w:jc w:val="center"/>
            </w:pPr>
            <w:r>
              <w:t xml:space="preserve">KOR</w:t>
            </w:r>
          </w:p>
        </w:tc>
        <w:tc>
          <w:tcPr/>
          <w:p>
            <w:pPr>
              <w:pStyle w:val="Compact"/>
              <w:jc w:val="center"/>
            </w:pPr>
            <w:r>
              <w:t xml:space="preserve">IRL</w:t>
            </w:r>
          </w:p>
        </w:tc>
        <w:tc>
          <w:tcPr/>
          <w:p>
            <w:pPr>
              <w:pStyle w:val="Compact"/>
              <w:jc w:val="center"/>
            </w:pPr>
            <w:r>
              <w:t xml:space="preserve">NIC</w:t>
            </w:r>
          </w:p>
        </w:tc>
        <w:tc>
          <w:tcPr/>
          <w:p>
            <w:pPr>
              <w:pStyle w:val="Compact"/>
            </w:pPr>
          </w:p>
        </w:tc>
        <w:tc>
          <w:tcPr/>
          <w:p>
            <w:pPr>
              <w:pStyle w:val="Compact"/>
            </w:pPr>
          </w:p>
        </w:tc>
      </w:tr>
      <w:tr>
        <w:tc>
          <w:tcPr/>
          <w:p>
            <w:pPr>
              <w:pStyle w:val="Compact"/>
              <w:jc w:val="center"/>
            </w:pPr>
            <w:r>
              <w:t xml:space="preserve">GIN</w:t>
            </w:r>
          </w:p>
        </w:tc>
        <w:tc>
          <w:tcPr/>
          <w:p>
            <w:pPr>
              <w:pStyle w:val="Compact"/>
              <w:jc w:val="center"/>
            </w:pPr>
            <w:r>
              <w:t xml:space="preserve">KWT</w:t>
            </w:r>
          </w:p>
        </w:tc>
        <w:tc>
          <w:tcPr/>
          <w:p>
            <w:pPr>
              <w:pStyle w:val="Compact"/>
              <w:jc w:val="center"/>
            </w:pPr>
            <w:r>
              <w:t xml:space="preserve">ITA</w:t>
            </w:r>
          </w:p>
        </w:tc>
        <w:tc>
          <w:tcPr/>
          <w:p>
            <w:pPr>
              <w:pStyle w:val="Compact"/>
              <w:jc w:val="center"/>
            </w:pPr>
            <w:r>
              <w:t xml:space="preserve">PAN</w:t>
            </w:r>
          </w:p>
        </w:tc>
        <w:tc>
          <w:tcPr/>
          <w:p>
            <w:pPr>
              <w:pStyle w:val="Compact"/>
            </w:pPr>
          </w:p>
        </w:tc>
        <w:tc>
          <w:tcPr/>
          <w:p>
            <w:pPr>
              <w:pStyle w:val="Compact"/>
            </w:pPr>
          </w:p>
        </w:tc>
      </w:tr>
      <w:tr>
        <w:tc>
          <w:tcPr/>
          <w:p>
            <w:pPr>
              <w:pStyle w:val="Compact"/>
              <w:jc w:val="center"/>
            </w:pPr>
            <w:r>
              <w:t xml:space="preserve">GMB</w:t>
            </w:r>
          </w:p>
        </w:tc>
        <w:tc>
          <w:tcPr/>
          <w:p>
            <w:pPr>
              <w:pStyle w:val="Compact"/>
              <w:jc w:val="center"/>
            </w:pPr>
            <w:r>
              <w:t xml:space="preserve">LAO</w:t>
            </w:r>
          </w:p>
        </w:tc>
        <w:tc>
          <w:tcPr/>
          <w:p>
            <w:pPr>
              <w:pStyle w:val="Compact"/>
              <w:jc w:val="center"/>
            </w:pPr>
            <w:r>
              <w:t xml:space="preserve">LUX</w:t>
            </w:r>
          </w:p>
        </w:tc>
        <w:tc>
          <w:tcPr/>
          <w:p>
            <w:pPr>
              <w:pStyle w:val="Compact"/>
              <w:jc w:val="center"/>
            </w:pPr>
            <w:r>
              <w:t xml:space="preserve">SLV</w:t>
            </w:r>
          </w:p>
        </w:tc>
        <w:tc>
          <w:tcPr/>
          <w:p>
            <w:pPr>
              <w:pStyle w:val="Compact"/>
            </w:pPr>
          </w:p>
        </w:tc>
        <w:tc>
          <w:tcPr/>
          <w:p>
            <w:pPr>
              <w:pStyle w:val="Compact"/>
            </w:pPr>
          </w:p>
        </w:tc>
      </w:tr>
      <w:tr>
        <w:tc>
          <w:tcPr/>
          <w:p>
            <w:pPr>
              <w:pStyle w:val="Compact"/>
              <w:jc w:val="center"/>
            </w:pPr>
            <w:r>
              <w:t xml:space="preserve">GNB</w:t>
            </w:r>
          </w:p>
        </w:tc>
        <w:tc>
          <w:tcPr/>
          <w:p>
            <w:pPr>
              <w:pStyle w:val="Compact"/>
              <w:jc w:val="center"/>
            </w:pPr>
            <w:r>
              <w:t xml:space="preserve">LBN</w:t>
            </w:r>
          </w:p>
        </w:tc>
        <w:tc>
          <w:tcPr/>
          <w:p>
            <w:pPr>
              <w:pStyle w:val="Compact"/>
              <w:jc w:val="center"/>
            </w:pPr>
            <w:r>
              <w:t xml:space="preserve">MKD</w:t>
            </w:r>
          </w:p>
        </w:tc>
        <w:tc>
          <w:tcPr/>
          <w:p>
            <w:pPr>
              <w:pStyle w:val="Compact"/>
              <w:jc w:val="center"/>
            </w:pPr>
            <w:r>
              <w:t xml:space="preserve">TTO</w:t>
            </w:r>
          </w:p>
        </w:tc>
        <w:tc>
          <w:tcPr/>
          <w:p>
            <w:pPr>
              <w:pStyle w:val="Compact"/>
            </w:pPr>
          </w:p>
        </w:tc>
        <w:tc>
          <w:tcPr/>
          <w:p>
            <w:pPr>
              <w:pStyle w:val="Compact"/>
            </w:pPr>
          </w:p>
        </w:tc>
      </w:tr>
      <w:tr>
        <w:tc>
          <w:tcPr/>
          <w:p>
            <w:pPr>
              <w:pStyle w:val="Compact"/>
              <w:jc w:val="center"/>
            </w:pPr>
            <w:r>
              <w:t xml:space="preserve">GNQ</w:t>
            </w:r>
          </w:p>
        </w:tc>
        <w:tc>
          <w:tcPr/>
          <w:p>
            <w:pPr>
              <w:pStyle w:val="Compact"/>
              <w:jc w:val="center"/>
            </w:pPr>
            <w:r>
              <w:t xml:space="preserve">LKA</w:t>
            </w:r>
          </w:p>
        </w:tc>
        <w:tc>
          <w:tcPr/>
          <w:p>
            <w:pPr>
              <w:pStyle w:val="Compact"/>
              <w:jc w:val="center"/>
            </w:pPr>
            <w:r>
              <w:t xml:space="preserve">MNE</w:t>
            </w:r>
          </w:p>
        </w:tc>
        <w:tc>
          <w:tcPr/>
          <w:p>
            <w:pPr>
              <w:pStyle w:val="Compact"/>
              <w:jc w:val="center"/>
            </w:pPr>
            <w:r>
              <w:t xml:space="preserve">USA</w:t>
            </w:r>
          </w:p>
        </w:tc>
        <w:tc>
          <w:tcPr/>
          <w:p>
            <w:pPr>
              <w:pStyle w:val="Compact"/>
            </w:pPr>
          </w:p>
        </w:tc>
        <w:tc>
          <w:tcPr/>
          <w:p>
            <w:pPr>
              <w:pStyle w:val="Compact"/>
            </w:pPr>
          </w:p>
        </w:tc>
      </w:tr>
      <w:tr>
        <w:tc>
          <w:tcPr/>
          <w:p>
            <w:pPr>
              <w:pStyle w:val="Compact"/>
              <w:jc w:val="center"/>
            </w:pPr>
            <w:r>
              <w:t xml:space="preserve">KEN</w:t>
            </w:r>
          </w:p>
        </w:tc>
        <w:tc>
          <w:tcPr/>
          <w:p>
            <w:pPr>
              <w:pStyle w:val="Compact"/>
              <w:jc w:val="center"/>
            </w:pPr>
            <w:r>
              <w:t xml:space="preserve">MDV</w:t>
            </w:r>
          </w:p>
        </w:tc>
        <w:tc>
          <w:tcPr/>
          <w:p>
            <w:pPr>
              <w:pStyle w:val="Compact"/>
              <w:jc w:val="center"/>
            </w:pPr>
            <w:r>
              <w:t xml:space="preserve">NLD</w:t>
            </w:r>
          </w:p>
        </w:tc>
        <w:tc>
          <w:tcPr/>
          <w:p>
            <w:pPr>
              <w:pStyle w:val="Compact"/>
              <w:jc w:val="center"/>
            </w:pPr>
            <w:r>
              <w:t xml:space="preserve">VCT</w:t>
            </w:r>
          </w:p>
        </w:tc>
        <w:tc>
          <w:tcPr/>
          <w:p>
            <w:pPr>
              <w:pStyle w:val="Compact"/>
            </w:pPr>
          </w:p>
        </w:tc>
        <w:tc>
          <w:tcPr/>
          <w:p>
            <w:pPr>
              <w:pStyle w:val="Compact"/>
            </w:pPr>
          </w:p>
        </w:tc>
      </w:tr>
      <w:tr>
        <w:tc>
          <w:tcPr/>
          <w:p>
            <w:pPr>
              <w:pStyle w:val="Compact"/>
              <w:jc w:val="center"/>
            </w:pPr>
            <w:r>
              <w:t xml:space="preserve">LBR</w:t>
            </w:r>
          </w:p>
        </w:tc>
        <w:tc>
          <w:tcPr/>
          <w:p>
            <w:pPr>
              <w:pStyle w:val="Compact"/>
              <w:jc w:val="center"/>
            </w:pPr>
            <w:r>
              <w:t xml:space="preserve">MMR</w:t>
            </w:r>
          </w:p>
        </w:tc>
        <w:tc>
          <w:tcPr/>
          <w:p>
            <w:pPr>
              <w:pStyle w:val="Compact"/>
              <w:jc w:val="center"/>
            </w:pPr>
            <w:r>
              <w:t xml:space="preserve">NOR</w:t>
            </w:r>
          </w:p>
        </w:tc>
        <w:tc>
          <w:tcPr/>
          <w:p>
            <w:pPr>
              <w:pStyle w:val="Compact"/>
            </w:pPr>
          </w:p>
        </w:tc>
        <w:tc>
          <w:tcPr/>
          <w:p>
            <w:pPr>
              <w:pStyle w:val="Compact"/>
            </w:pPr>
          </w:p>
        </w:tc>
        <w:tc>
          <w:tcPr/>
          <w:p>
            <w:pPr>
              <w:pStyle w:val="Compact"/>
            </w:pPr>
          </w:p>
        </w:tc>
      </w:tr>
      <w:tr>
        <w:tc>
          <w:tcPr/>
          <w:p>
            <w:pPr>
              <w:pStyle w:val="Compact"/>
              <w:jc w:val="center"/>
            </w:pPr>
            <w:r>
              <w:t xml:space="preserve">LBY</w:t>
            </w:r>
          </w:p>
        </w:tc>
        <w:tc>
          <w:tcPr/>
          <w:p>
            <w:pPr>
              <w:pStyle w:val="Compact"/>
              <w:jc w:val="center"/>
            </w:pPr>
            <w:r>
              <w:t xml:space="preserve">MNG</w:t>
            </w:r>
          </w:p>
        </w:tc>
        <w:tc>
          <w:tcPr/>
          <w:p>
            <w:pPr>
              <w:pStyle w:val="Compact"/>
              <w:jc w:val="center"/>
            </w:pPr>
            <w:r>
              <w:t xml:space="preserve">POL</w:t>
            </w:r>
          </w:p>
        </w:tc>
        <w:tc>
          <w:tcPr/>
          <w:p>
            <w:pPr>
              <w:pStyle w:val="Compact"/>
            </w:pPr>
          </w:p>
        </w:tc>
        <w:tc>
          <w:tcPr/>
          <w:p>
            <w:pPr>
              <w:pStyle w:val="Compact"/>
            </w:pPr>
          </w:p>
        </w:tc>
        <w:tc>
          <w:tcPr/>
          <w:p>
            <w:pPr>
              <w:pStyle w:val="Compact"/>
            </w:pPr>
          </w:p>
        </w:tc>
      </w:tr>
      <w:tr>
        <w:tc>
          <w:tcPr/>
          <w:p>
            <w:pPr>
              <w:pStyle w:val="Compact"/>
              <w:jc w:val="center"/>
            </w:pPr>
            <w:r>
              <w:t xml:space="preserve">LSO</w:t>
            </w:r>
          </w:p>
        </w:tc>
        <w:tc>
          <w:tcPr/>
          <w:p>
            <w:pPr>
              <w:pStyle w:val="Compact"/>
              <w:jc w:val="center"/>
            </w:pPr>
            <w:r>
              <w:t xml:space="preserve">MYS</w:t>
            </w:r>
          </w:p>
        </w:tc>
        <w:tc>
          <w:tcPr/>
          <w:p>
            <w:pPr>
              <w:pStyle w:val="Compact"/>
              <w:jc w:val="center"/>
            </w:pPr>
            <w:r>
              <w:t xml:space="preserve">PRT</w:t>
            </w:r>
          </w:p>
        </w:tc>
        <w:tc>
          <w:tcPr/>
          <w:p>
            <w:pPr>
              <w:pStyle w:val="Compact"/>
            </w:pPr>
          </w:p>
        </w:tc>
        <w:tc>
          <w:tcPr/>
          <w:p>
            <w:pPr>
              <w:pStyle w:val="Compact"/>
            </w:pPr>
          </w:p>
        </w:tc>
        <w:tc>
          <w:tcPr/>
          <w:p>
            <w:pPr>
              <w:pStyle w:val="Compact"/>
            </w:pPr>
          </w:p>
        </w:tc>
      </w:tr>
      <w:tr>
        <w:tc>
          <w:tcPr/>
          <w:p>
            <w:pPr>
              <w:pStyle w:val="Compact"/>
              <w:jc w:val="center"/>
            </w:pPr>
            <w:r>
              <w:t xml:space="preserve">MAR</w:t>
            </w:r>
          </w:p>
        </w:tc>
        <w:tc>
          <w:tcPr/>
          <w:p>
            <w:pPr>
              <w:pStyle w:val="Compact"/>
              <w:jc w:val="center"/>
            </w:pPr>
            <w:r>
              <w:t xml:space="preserve">NPL</w:t>
            </w:r>
          </w:p>
        </w:tc>
        <w:tc>
          <w:tcPr/>
          <w:p>
            <w:pPr>
              <w:pStyle w:val="Compact"/>
              <w:jc w:val="center"/>
            </w:pPr>
            <w:r>
              <w:t xml:space="preserve">ROU</w:t>
            </w:r>
          </w:p>
        </w:tc>
        <w:tc>
          <w:tcPr/>
          <w:p>
            <w:pPr>
              <w:pStyle w:val="Compact"/>
            </w:pPr>
          </w:p>
        </w:tc>
        <w:tc>
          <w:tcPr/>
          <w:p>
            <w:pPr>
              <w:pStyle w:val="Compact"/>
            </w:pPr>
          </w:p>
        </w:tc>
        <w:tc>
          <w:tcPr/>
          <w:p>
            <w:pPr>
              <w:pStyle w:val="Compact"/>
            </w:pPr>
          </w:p>
        </w:tc>
      </w:tr>
      <w:tr>
        <w:tc>
          <w:tcPr/>
          <w:p>
            <w:pPr>
              <w:pStyle w:val="Compact"/>
              <w:jc w:val="center"/>
            </w:pPr>
            <w:r>
              <w:t xml:space="preserve">MDG</w:t>
            </w:r>
          </w:p>
        </w:tc>
        <w:tc>
          <w:tcPr/>
          <w:p>
            <w:pPr>
              <w:pStyle w:val="Compact"/>
              <w:jc w:val="center"/>
            </w:pPr>
            <w:r>
              <w:t xml:space="preserve">OMN</w:t>
            </w:r>
          </w:p>
        </w:tc>
        <w:tc>
          <w:tcPr/>
          <w:p>
            <w:pPr>
              <w:pStyle w:val="Compact"/>
              <w:jc w:val="center"/>
            </w:pPr>
            <w:r>
              <w:t xml:space="preserve">SRB</w:t>
            </w:r>
          </w:p>
        </w:tc>
        <w:tc>
          <w:tcPr/>
          <w:p>
            <w:pPr>
              <w:pStyle w:val="Compact"/>
            </w:pPr>
          </w:p>
        </w:tc>
        <w:tc>
          <w:tcPr/>
          <w:p>
            <w:pPr>
              <w:pStyle w:val="Compact"/>
            </w:pPr>
          </w:p>
        </w:tc>
        <w:tc>
          <w:tcPr/>
          <w:p>
            <w:pPr>
              <w:pStyle w:val="Compact"/>
            </w:pPr>
          </w:p>
        </w:tc>
      </w:tr>
      <w:tr>
        <w:tc>
          <w:tcPr/>
          <w:p>
            <w:pPr>
              <w:pStyle w:val="Compact"/>
              <w:jc w:val="center"/>
            </w:pPr>
            <w:r>
              <w:t xml:space="preserve">MLI</w:t>
            </w:r>
          </w:p>
        </w:tc>
        <w:tc>
          <w:tcPr/>
          <w:p>
            <w:pPr>
              <w:pStyle w:val="Compact"/>
              <w:jc w:val="center"/>
            </w:pPr>
            <w:r>
              <w:t xml:space="preserve">PAK</w:t>
            </w:r>
          </w:p>
        </w:tc>
        <w:tc>
          <w:tcPr/>
          <w:p>
            <w:pPr>
              <w:pStyle w:val="Compact"/>
              <w:jc w:val="center"/>
            </w:pPr>
            <w:r>
              <w:t xml:space="preserve">SVK</w:t>
            </w:r>
          </w:p>
        </w:tc>
        <w:tc>
          <w:tcPr/>
          <w:p>
            <w:pPr>
              <w:pStyle w:val="Compact"/>
            </w:pPr>
          </w:p>
        </w:tc>
        <w:tc>
          <w:tcPr/>
          <w:p>
            <w:pPr>
              <w:pStyle w:val="Compact"/>
            </w:pPr>
          </w:p>
        </w:tc>
        <w:tc>
          <w:tcPr/>
          <w:p>
            <w:pPr>
              <w:pStyle w:val="Compact"/>
            </w:pPr>
          </w:p>
        </w:tc>
      </w:tr>
      <w:tr>
        <w:tc>
          <w:tcPr/>
          <w:p>
            <w:pPr>
              <w:pStyle w:val="Compact"/>
              <w:jc w:val="center"/>
            </w:pPr>
            <w:r>
              <w:t xml:space="preserve">MOZ</w:t>
            </w:r>
          </w:p>
        </w:tc>
        <w:tc>
          <w:tcPr/>
          <w:p>
            <w:pPr>
              <w:pStyle w:val="Compact"/>
              <w:jc w:val="center"/>
            </w:pPr>
            <w:r>
              <w:t xml:space="preserve">PHL</w:t>
            </w:r>
          </w:p>
        </w:tc>
        <w:tc>
          <w:tcPr/>
          <w:p>
            <w:pPr>
              <w:pStyle w:val="Compact"/>
              <w:jc w:val="center"/>
            </w:pPr>
            <w:r>
              <w:t xml:space="preserve">SVN</w:t>
            </w:r>
          </w:p>
        </w:tc>
        <w:tc>
          <w:tcPr/>
          <w:p>
            <w:pPr>
              <w:pStyle w:val="Compact"/>
            </w:pPr>
          </w:p>
        </w:tc>
        <w:tc>
          <w:tcPr/>
          <w:p>
            <w:pPr>
              <w:pStyle w:val="Compact"/>
            </w:pPr>
          </w:p>
        </w:tc>
        <w:tc>
          <w:tcPr/>
          <w:p>
            <w:pPr>
              <w:pStyle w:val="Compact"/>
            </w:pPr>
          </w:p>
        </w:tc>
      </w:tr>
      <w:tr>
        <w:tc>
          <w:tcPr/>
          <w:p>
            <w:pPr>
              <w:pStyle w:val="Compact"/>
              <w:jc w:val="center"/>
            </w:pPr>
            <w:r>
              <w:t xml:space="preserve">MRT</w:t>
            </w:r>
          </w:p>
        </w:tc>
        <w:tc>
          <w:tcPr/>
          <w:p>
            <w:pPr>
              <w:pStyle w:val="Compact"/>
              <w:jc w:val="center"/>
            </w:pPr>
            <w:r>
              <w:t xml:space="preserve">PRK</w:t>
            </w:r>
          </w:p>
        </w:tc>
        <w:tc>
          <w:tcPr/>
          <w:p>
            <w:pPr>
              <w:pStyle w:val="Compact"/>
              <w:jc w:val="center"/>
            </w:pPr>
            <w:r>
              <w:t xml:space="preserve">SWE</w:t>
            </w:r>
          </w:p>
        </w:tc>
        <w:tc>
          <w:tcPr/>
          <w:p>
            <w:pPr>
              <w:pStyle w:val="Compact"/>
            </w:pPr>
          </w:p>
        </w:tc>
        <w:tc>
          <w:tcPr/>
          <w:p>
            <w:pPr>
              <w:pStyle w:val="Compact"/>
            </w:pPr>
          </w:p>
        </w:tc>
        <w:tc>
          <w:tcPr/>
          <w:p>
            <w:pPr>
              <w:pStyle w:val="Compact"/>
            </w:pPr>
          </w:p>
        </w:tc>
      </w:tr>
      <w:tr>
        <w:tc>
          <w:tcPr/>
          <w:p>
            <w:pPr>
              <w:pStyle w:val="Compact"/>
              <w:jc w:val="center"/>
            </w:pPr>
            <w:r>
              <w:t xml:space="preserve">MUS</w:t>
            </w:r>
          </w:p>
        </w:tc>
        <w:tc>
          <w:tcPr/>
          <w:p>
            <w:pPr>
              <w:pStyle w:val="Compact"/>
              <w:jc w:val="center"/>
            </w:pPr>
            <w:r>
              <w:t xml:space="preserve">QAT</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MWI</w:t>
            </w:r>
          </w:p>
        </w:tc>
        <w:tc>
          <w:tcPr/>
          <w:p>
            <w:pPr>
              <w:pStyle w:val="Compact"/>
              <w:jc w:val="center"/>
            </w:pPr>
            <w:r>
              <w:t xml:space="preserve">SAU</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NER</w:t>
            </w:r>
          </w:p>
        </w:tc>
        <w:tc>
          <w:tcPr/>
          <w:p>
            <w:pPr>
              <w:pStyle w:val="Compact"/>
              <w:jc w:val="center"/>
            </w:pPr>
            <w:r>
              <w:t xml:space="preserve">SGP</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NGA</w:t>
            </w:r>
          </w:p>
        </w:tc>
        <w:tc>
          <w:tcPr/>
          <w:p>
            <w:pPr>
              <w:pStyle w:val="Compact"/>
              <w:jc w:val="center"/>
            </w:pPr>
            <w:r>
              <w:t xml:space="preserve">SYR</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REU</w:t>
            </w:r>
          </w:p>
        </w:tc>
        <w:tc>
          <w:tcPr/>
          <w:p>
            <w:pPr>
              <w:pStyle w:val="Compact"/>
              <w:jc w:val="center"/>
            </w:pPr>
            <w:r>
              <w:t xml:space="preserve">THA</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RWA</w:t>
            </w:r>
          </w:p>
        </w:tc>
        <w:tc>
          <w:tcPr/>
          <w:p>
            <w:pPr>
              <w:pStyle w:val="Compact"/>
              <w:jc w:val="center"/>
            </w:pPr>
            <w:r>
              <w:t xml:space="preserve">TLS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SDN</w:t>
            </w:r>
          </w:p>
        </w:tc>
        <w:tc>
          <w:tcPr/>
          <w:p>
            <w:pPr>
              <w:pStyle w:val="Compact"/>
              <w:jc w:val="center"/>
            </w:pPr>
            <w:r>
              <w:t xml:space="preserve">TUR</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SEN</w:t>
            </w:r>
          </w:p>
        </w:tc>
        <w:tc>
          <w:tcPr/>
          <w:p>
            <w:pPr>
              <w:pStyle w:val="Compact"/>
              <w:jc w:val="center"/>
            </w:pPr>
            <w:r>
              <w:t xml:space="preserve">VNM</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SLE</w:t>
            </w:r>
          </w:p>
        </w:tc>
        <w:tc>
          <w:tcPr/>
          <w:p>
            <w:pPr>
              <w:pStyle w:val="Compact"/>
              <w:jc w:val="center"/>
            </w:pPr>
            <w:r>
              <w:t xml:space="preserve">YEM</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SOM</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STP</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SWZ</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TCD</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TGO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TUN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TZA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UGA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ZAF</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ZMB</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ZWE</w:t>
            </w:r>
          </w:p>
        </w:tc>
        <w:tc>
          <w:tcPr/>
          <w:p>
            <w:pPr>
              <w:pStyle w:val="Compact"/>
            </w:pPr>
          </w:p>
        </w:tc>
        <w:tc>
          <w:tcPr/>
          <w:p>
            <w:pPr>
              <w:pStyle w:val="Compact"/>
            </w:pPr>
          </w:p>
        </w:tc>
        <w:tc>
          <w:tcPr/>
          <w:p>
            <w:pPr>
              <w:pStyle w:val="Compact"/>
            </w:pPr>
          </w:p>
        </w:tc>
        <w:tc>
          <w:tcPr/>
          <w:p>
            <w:pPr>
              <w:pStyle w:val="Compact"/>
            </w:pPr>
          </w:p>
        </w:tc>
        <w:tc>
          <w:tcPr/>
          <w:p>
            <w:pPr>
              <w:pStyle w:val="Compact"/>
            </w:pPr>
          </w:p>
        </w:tc>
      </w:tr>
    </w:tbl>
    <w:p>
      <w:pPr>
        <w:pStyle w:val="BodyText"/>
      </w:pPr>
    </w:p>
    <w:p>
      <w:pPr>
        <w:pStyle w:val="BodyText"/>
      </w:pPr>
      <w:r>
        <w:rPr>
          <w:b/>
          <w:bCs/>
        </w:rPr>
        <w:t xml:space="preserve">Table A3:</w:t>
      </w:r>
      <w:r>
        <w:t xml:space="preserve"> </w:t>
      </w:r>
      <w:r>
        <w:t xml:space="preserve">List of 180 countries included into TiMBA with their respective country codes in the model</w:t>
      </w:r>
    </w:p>
    <w:tbl>
      <w:tblPr>
        <w:tblStyle w:val="Table"/>
        <w:tblW w:type="pct" w:w="5000"/>
        <w:tblLayout w:type="fixed"/>
        <w:tblLook w:firstRow="0" w:lastRow="0" w:firstColumn="0" w:lastColumn="0" w:noHBand="0" w:noVBand="0" w:val="0000"/>
      </w:tblPr>
      <w:tblGrid>
        <w:gridCol w:w="2059"/>
        <w:gridCol w:w="2059"/>
        <w:gridCol w:w="1821"/>
        <w:gridCol w:w="1980"/>
      </w:tblGrid>
      <w:tr>
        <w:tc>
          <w:tcPr/>
          <w:p>
            <w:pPr>
              <w:pStyle w:val="Compact"/>
              <w:jc w:val="center"/>
            </w:pPr>
            <w:r>
              <w:t xml:space="preserve">Algeria</w:t>
            </w:r>
          </w:p>
        </w:tc>
        <w:tc>
          <w:tcPr/>
          <w:p>
            <w:pPr>
              <w:pStyle w:val="Compact"/>
              <w:jc w:val="center"/>
            </w:pPr>
            <w:r>
              <w:t xml:space="preserve">El Salvador</w:t>
            </w:r>
          </w:p>
        </w:tc>
        <w:tc>
          <w:tcPr/>
          <w:p>
            <w:pPr>
              <w:pStyle w:val="Compact"/>
              <w:jc w:val="center"/>
            </w:pPr>
            <w:r>
              <w:t xml:space="preserve">Maldives</w:t>
            </w:r>
          </w:p>
        </w:tc>
        <w:tc>
          <w:tcPr/>
          <w:p>
            <w:pPr>
              <w:pStyle w:val="Compact"/>
              <w:jc w:val="center"/>
            </w:pPr>
            <w:r>
              <w:t xml:space="preserve">St.Vincent/Grenadines</w:t>
            </w:r>
          </w:p>
        </w:tc>
      </w:tr>
      <w:tr>
        <w:tc>
          <w:tcPr/>
          <w:p>
            <w:pPr>
              <w:pStyle w:val="Compact"/>
              <w:jc w:val="center"/>
            </w:pPr>
            <w:r>
              <w:t xml:space="preserve">Afghanistan</w:t>
            </w:r>
          </w:p>
        </w:tc>
        <w:tc>
          <w:tcPr/>
          <w:p>
            <w:pPr>
              <w:pStyle w:val="Compact"/>
              <w:jc w:val="center"/>
            </w:pPr>
            <w:r>
              <w:t xml:space="preserve">Equatorial Guinea</w:t>
            </w:r>
          </w:p>
        </w:tc>
        <w:tc>
          <w:tcPr/>
          <w:p>
            <w:pPr>
              <w:pStyle w:val="Compact"/>
              <w:jc w:val="center"/>
            </w:pPr>
            <w:r>
              <w:t xml:space="preserve">Mali</w:t>
            </w:r>
          </w:p>
        </w:tc>
        <w:tc>
          <w:tcPr/>
          <w:p>
            <w:pPr>
              <w:pStyle w:val="Compact"/>
              <w:jc w:val="center"/>
            </w:pPr>
            <w:r>
              <w:t xml:space="preserve">Sudan</w:t>
            </w:r>
          </w:p>
        </w:tc>
      </w:tr>
      <w:tr>
        <w:tc>
          <w:tcPr/>
          <w:p>
            <w:pPr>
              <w:pStyle w:val="Compact"/>
              <w:jc w:val="center"/>
            </w:pPr>
            <w:r>
              <w:t xml:space="preserve">Albania</w:t>
            </w:r>
          </w:p>
        </w:tc>
        <w:tc>
          <w:tcPr/>
          <w:p>
            <w:pPr>
              <w:pStyle w:val="Compact"/>
              <w:jc w:val="center"/>
            </w:pPr>
            <w:r>
              <w:t xml:space="preserve">Estonia</w:t>
            </w:r>
          </w:p>
        </w:tc>
        <w:tc>
          <w:tcPr/>
          <w:p>
            <w:pPr>
              <w:pStyle w:val="Compact"/>
              <w:jc w:val="center"/>
            </w:pPr>
            <w:r>
              <w:t xml:space="preserve">Martinique</w:t>
            </w:r>
          </w:p>
        </w:tc>
        <w:tc>
          <w:tcPr/>
          <w:p>
            <w:pPr>
              <w:pStyle w:val="Compact"/>
              <w:jc w:val="center"/>
            </w:pPr>
            <w:r>
              <w:t xml:space="preserve">Suriname</w:t>
            </w:r>
          </w:p>
        </w:tc>
      </w:tr>
      <w:tr>
        <w:tc>
          <w:tcPr/>
          <w:p>
            <w:pPr>
              <w:pStyle w:val="Compact"/>
              <w:jc w:val="center"/>
            </w:pPr>
            <w:r>
              <w:t xml:space="preserve">Angola</w:t>
            </w:r>
          </w:p>
        </w:tc>
        <w:tc>
          <w:tcPr/>
          <w:p>
            <w:pPr>
              <w:pStyle w:val="Compact"/>
              <w:jc w:val="center"/>
            </w:pPr>
            <w:r>
              <w:t xml:space="preserve">Ethiopia</w:t>
            </w:r>
          </w:p>
        </w:tc>
        <w:tc>
          <w:tcPr/>
          <w:p>
            <w:pPr>
              <w:pStyle w:val="Compact"/>
              <w:jc w:val="center"/>
            </w:pPr>
            <w:r>
              <w:t xml:space="preserve">Mauritania</w:t>
            </w:r>
          </w:p>
        </w:tc>
        <w:tc>
          <w:tcPr/>
          <w:p>
            <w:pPr>
              <w:pStyle w:val="Compact"/>
              <w:jc w:val="center"/>
            </w:pPr>
            <w:r>
              <w:t xml:space="preserve">Swaziland</w:t>
            </w:r>
          </w:p>
        </w:tc>
      </w:tr>
      <w:tr>
        <w:tc>
          <w:tcPr/>
          <w:p>
            <w:pPr>
              <w:pStyle w:val="Compact"/>
              <w:jc w:val="center"/>
            </w:pPr>
            <w:r>
              <w:t xml:space="preserve">Argentina</w:t>
            </w:r>
          </w:p>
        </w:tc>
        <w:tc>
          <w:tcPr/>
          <w:p>
            <w:pPr>
              <w:pStyle w:val="Compact"/>
              <w:jc w:val="center"/>
            </w:pPr>
            <w:r>
              <w:t xml:space="preserve">Fiji Islands</w:t>
            </w:r>
          </w:p>
        </w:tc>
        <w:tc>
          <w:tcPr/>
          <w:p>
            <w:pPr>
              <w:pStyle w:val="Compact"/>
              <w:jc w:val="center"/>
            </w:pPr>
            <w:r>
              <w:t xml:space="preserve">Mauritius</w:t>
            </w:r>
          </w:p>
        </w:tc>
        <w:tc>
          <w:tcPr/>
          <w:p>
            <w:pPr>
              <w:pStyle w:val="Compact"/>
              <w:jc w:val="center"/>
            </w:pPr>
            <w:r>
              <w:t xml:space="preserve">Sweden</w:t>
            </w:r>
          </w:p>
        </w:tc>
      </w:tr>
      <w:tr>
        <w:tc>
          <w:tcPr/>
          <w:p>
            <w:pPr>
              <w:pStyle w:val="Compact"/>
              <w:jc w:val="center"/>
            </w:pPr>
            <w:r>
              <w:t xml:space="preserve">Armenia</w:t>
            </w:r>
          </w:p>
        </w:tc>
        <w:tc>
          <w:tcPr/>
          <w:p>
            <w:pPr>
              <w:pStyle w:val="Compact"/>
              <w:jc w:val="center"/>
            </w:pPr>
            <w:r>
              <w:t xml:space="preserve">Finland</w:t>
            </w:r>
          </w:p>
        </w:tc>
        <w:tc>
          <w:tcPr/>
          <w:p>
            <w:pPr>
              <w:pStyle w:val="Compact"/>
              <w:jc w:val="center"/>
            </w:pPr>
            <w:r>
              <w:t xml:space="preserve">Mexico</w:t>
            </w:r>
          </w:p>
        </w:tc>
        <w:tc>
          <w:tcPr/>
          <w:p>
            <w:pPr>
              <w:pStyle w:val="Compact"/>
              <w:jc w:val="center"/>
            </w:pPr>
            <w:r>
              <w:t xml:space="preserve">Switzerland</w:t>
            </w:r>
          </w:p>
        </w:tc>
      </w:tr>
      <w:tr>
        <w:tc>
          <w:tcPr/>
          <w:p>
            <w:pPr>
              <w:pStyle w:val="Compact"/>
              <w:jc w:val="center"/>
            </w:pPr>
            <w:r>
              <w:t xml:space="preserve">Australia</w:t>
            </w:r>
          </w:p>
        </w:tc>
        <w:tc>
          <w:tcPr/>
          <w:p>
            <w:pPr>
              <w:pStyle w:val="Compact"/>
              <w:jc w:val="center"/>
            </w:pPr>
            <w:r>
              <w:t xml:space="preserve">France</w:t>
            </w:r>
          </w:p>
        </w:tc>
        <w:tc>
          <w:tcPr/>
          <w:p>
            <w:pPr>
              <w:pStyle w:val="Compact"/>
              <w:jc w:val="center"/>
            </w:pPr>
            <w:r>
              <w:t xml:space="preserve">Moldova, Republic</w:t>
            </w:r>
          </w:p>
        </w:tc>
        <w:tc>
          <w:tcPr/>
          <w:p>
            <w:pPr>
              <w:pStyle w:val="Compact"/>
              <w:jc w:val="center"/>
            </w:pPr>
            <w:r>
              <w:t xml:space="preserve">Syrian Arab Republic</w:t>
            </w:r>
          </w:p>
        </w:tc>
      </w:tr>
      <w:tr>
        <w:tc>
          <w:tcPr/>
          <w:p>
            <w:pPr>
              <w:pStyle w:val="Compact"/>
              <w:jc w:val="center"/>
            </w:pPr>
            <w:r>
              <w:t xml:space="preserve">Austria</w:t>
            </w:r>
          </w:p>
        </w:tc>
        <w:tc>
          <w:tcPr/>
          <w:p>
            <w:pPr>
              <w:pStyle w:val="Compact"/>
              <w:jc w:val="center"/>
            </w:pPr>
            <w:r>
              <w:t xml:space="preserve">French Guiana</w:t>
            </w:r>
          </w:p>
        </w:tc>
        <w:tc>
          <w:tcPr/>
          <w:p>
            <w:pPr>
              <w:pStyle w:val="Compact"/>
              <w:jc w:val="center"/>
            </w:pPr>
            <w:r>
              <w:t xml:space="preserve">Mongolia</w:t>
            </w:r>
          </w:p>
        </w:tc>
        <w:tc>
          <w:tcPr/>
          <w:p>
            <w:pPr>
              <w:pStyle w:val="Compact"/>
              <w:jc w:val="center"/>
            </w:pPr>
            <w:r>
              <w:t xml:space="preserve">Tajikistan</w:t>
            </w:r>
          </w:p>
        </w:tc>
      </w:tr>
      <w:tr>
        <w:tc>
          <w:tcPr/>
          <w:p>
            <w:pPr>
              <w:pStyle w:val="Compact"/>
              <w:jc w:val="center"/>
            </w:pPr>
            <w:r>
              <w:t xml:space="preserve">Azerbaijan,Republic</w:t>
            </w:r>
          </w:p>
        </w:tc>
        <w:tc>
          <w:tcPr/>
          <w:p>
            <w:pPr>
              <w:pStyle w:val="Compact"/>
              <w:jc w:val="center"/>
            </w:pPr>
            <w:r>
              <w:t xml:space="preserve">French Polynesia</w:t>
            </w:r>
          </w:p>
        </w:tc>
        <w:tc>
          <w:tcPr/>
          <w:p>
            <w:pPr>
              <w:pStyle w:val="Compact"/>
              <w:jc w:val="center"/>
            </w:pPr>
            <w:r>
              <w:t xml:space="preserve">Montenegro</w:t>
            </w:r>
          </w:p>
        </w:tc>
        <w:tc>
          <w:tcPr/>
          <w:p>
            <w:pPr>
              <w:pStyle w:val="Compact"/>
              <w:jc w:val="center"/>
            </w:pPr>
            <w:r>
              <w:t xml:space="preserve">Tanzania, United Rep of</w:t>
            </w:r>
          </w:p>
        </w:tc>
      </w:tr>
      <w:tr>
        <w:tc>
          <w:tcPr/>
          <w:p>
            <w:pPr>
              <w:pStyle w:val="Compact"/>
              <w:jc w:val="center"/>
            </w:pPr>
            <w:r>
              <w:t xml:space="preserve">Bahamas</w:t>
            </w:r>
          </w:p>
        </w:tc>
        <w:tc>
          <w:tcPr/>
          <w:p>
            <w:pPr>
              <w:pStyle w:val="Compact"/>
              <w:jc w:val="center"/>
            </w:pPr>
            <w:r>
              <w:t xml:space="preserve">Gabon</w:t>
            </w:r>
          </w:p>
        </w:tc>
        <w:tc>
          <w:tcPr/>
          <w:p>
            <w:pPr>
              <w:pStyle w:val="Compact"/>
              <w:jc w:val="center"/>
            </w:pPr>
            <w:r>
              <w:t xml:space="preserve">Morocco</w:t>
            </w:r>
          </w:p>
        </w:tc>
        <w:tc>
          <w:tcPr/>
          <w:p>
            <w:pPr>
              <w:pStyle w:val="Compact"/>
              <w:jc w:val="center"/>
            </w:pPr>
            <w:r>
              <w:t xml:space="preserve">Thailand</w:t>
            </w:r>
          </w:p>
        </w:tc>
      </w:tr>
      <w:tr>
        <w:tc>
          <w:tcPr/>
          <w:p>
            <w:pPr>
              <w:pStyle w:val="Compact"/>
              <w:jc w:val="center"/>
            </w:pPr>
            <w:r>
              <w:t xml:space="preserve">Bahrain</w:t>
            </w:r>
          </w:p>
        </w:tc>
        <w:tc>
          <w:tcPr/>
          <w:p>
            <w:pPr>
              <w:pStyle w:val="Compact"/>
              <w:jc w:val="center"/>
            </w:pPr>
            <w:r>
              <w:t xml:space="preserve">Gambia</w:t>
            </w:r>
          </w:p>
        </w:tc>
        <w:tc>
          <w:tcPr/>
          <w:p>
            <w:pPr>
              <w:pStyle w:val="Compact"/>
              <w:jc w:val="center"/>
            </w:pPr>
            <w:r>
              <w:t xml:space="preserve">Mozambique</w:t>
            </w:r>
          </w:p>
        </w:tc>
        <w:tc>
          <w:tcPr/>
          <w:p>
            <w:pPr>
              <w:pStyle w:val="Compact"/>
              <w:jc w:val="center"/>
            </w:pPr>
            <w:r>
              <w:t xml:space="preserve">Timor-Leste</w:t>
            </w:r>
          </w:p>
        </w:tc>
      </w:tr>
      <w:tr>
        <w:tc>
          <w:tcPr/>
          <w:p>
            <w:pPr>
              <w:pStyle w:val="Compact"/>
              <w:jc w:val="center"/>
            </w:pPr>
            <w:r>
              <w:t xml:space="preserve">Bangladesh</w:t>
            </w:r>
          </w:p>
        </w:tc>
        <w:tc>
          <w:tcPr/>
          <w:p>
            <w:pPr>
              <w:pStyle w:val="Compact"/>
              <w:jc w:val="center"/>
            </w:pPr>
            <w:r>
              <w:t xml:space="preserve">Georgia</w:t>
            </w:r>
          </w:p>
        </w:tc>
        <w:tc>
          <w:tcPr/>
          <w:p>
            <w:pPr>
              <w:pStyle w:val="Compact"/>
              <w:jc w:val="center"/>
            </w:pPr>
            <w:r>
              <w:t xml:space="preserve">Myanmar</w:t>
            </w:r>
          </w:p>
        </w:tc>
        <w:tc>
          <w:tcPr/>
          <w:p>
            <w:pPr>
              <w:pStyle w:val="Compact"/>
              <w:jc w:val="center"/>
            </w:pPr>
            <w:r>
              <w:t xml:space="preserve">Togo</w:t>
            </w:r>
          </w:p>
        </w:tc>
      </w:tr>
      <w:tr>
        <w:tc>
          <w:tcPr/>
          <w:p>
            <w:pPr>
              <w:pStyle w:val="Compact"/>
              <w:jc w:val="center"/>
            </w:pPr>
            <w:r>
              <w:t xml:space="preserve">Barbados</w:t>
            </w:r>
          </w:p>
        </w:tc>
        <w:tc>
          <w:tcPr/>
          <w:p>
            <w:pPr>
              <w:pStyle w:val="Compact"/>
              <w:jc w:val="center"/>
            </w:pPr>
            <w:r>
              <w:t xml:space="preserve">Germany</w:t>
            </w:r>
          </w:p>
        </w:tc>
        <w:tc>
          <w:tcPr/>
          <w:p>
            <w:pPr>
              <w:pStyle w:val="Compact"/>
              <w:jc w:val="center"/>
            </w:pPr>
            <w:r>
              <w:t xml:space="preserve">Nepal</w:t>
            </w:r>
          </w:p>
        </w:tc>
        <w:tc>
          <w:tcPr/>
          <w:p>
            <w:pPr>
              <w:pStyle w:val="Compact"/>
              <w:jc w:val="center"/>
            </w:pPr>
            <w:r>
              <w:t xml:space="preserve">Tonga</w:t>
            </w:r>
          </w:p>
        </w:tc>
      </w:tr>
      <w:tr>
        <w:tc>
          <w:tcPr/>
          <w:p>
            <w:pPr>
              <w:pStyle w:val="Compact"/>
              <w:jc w:val="center"/>
            </w:pPr>
            <w:r>
              <w:t xml:space="preserve">Belarus</w:t>
            </w:r>
          </w:p>
        </w:tc>
        <w:tc>
          <w:tcPr/>
          <w:p>
            <w:pPr>
              <w:pStyle w:val="Compact"/>
              <w:jc w:val="center"/>
            </w:pPr>
            <w:r>
              <w:t xml:space="preserve">Ghana</w:t>
            </w:r>
          </w:p>
        </w:tc>
        <w:tc>
          <w:tcPr/>
          <w:p>
            <w:pPr>
              <w:pStyle w:val="Compact"/>
              <w:jc w:val="center"/>
            </w:pPr>
            <w:r>
              <w:t xml:space="preserve">Netherlands</w:t>
            </w:r>
          </w:p>
        </w:tc>
        <w:tc>
          <w:tcPr/>
          <w:p>
            <w:pPr>
              <w:pStyle w:val="Compact"/>
              <w:jc w:val="center"/>
            </w:pPr>
            <w:r>
              <w:t xml:space="preserve">Trinidad and Tobago</w:t>
            </w:r>
          </w:p>
        </w:tc>
      </w:tr>
      <w:tr>
        <w:tc>
          <w:tcPr/>
          <w:p>
            <w:pPr>
              <w:pStyle w:val="Compact"/>
              <w:jc w:val="center"/>
            </w:pPr>
            <w:r>
              <w:t xml:space="preserve">Belgium</w:t>
            </w:r>
          </w:p>
        </w:tc>
        <w:tc>
          <w:tcPr/>
          <w:p>
            <w:pPr>
              <w:pStyle w:val="Compact"/>
              <w:jc w:val="center"/>
            </w:pPr>
            <w:r>
              <w:t xml:space="preserve">Greece</w:t>
            </w:r>
          </w:p>
        </w:tc>
        <w:tc>
          <w:tcPr/>
          <w:p>
            <w:pPr>
              <w:pStyle w:val="Compact"/>
              <w:jc w:val="center"/>
            </w:pPr>
            <w:r>
              <w:t xml:space="preserve">Netherlands Antilles</w:t>
            </w:r>
          </w:p>
        </w:tc>
        <w:tc>
          <w:tcPr/>
          <w:p>
            <w:pPr>
              <w:pStyle w:val="Compact"/>
              <w:jc w:val="center"/>
            </w:pPr>
            <w:r>
              <w:t xml:space="preserve">Tunisiav</w:t>
            </w:r>
          </w:p>
        </w:tc>
      </w:tr>
      <w:tr>
        <w:tc>
          <w:tcPr/>
          <w:p>
            <w:pPr>
              <w:pStyle w:val="Compact"/>
              <w:jc w:val="center"/>
            </w:pPr>
            <w:r>
              <w:t xml:space="preserve">Belize</w:t>
            </w:r>
          </w:p>
        </w:tc>
        <w:tc>
          <w:tcPr/>
          <w:p>
            <w:pPr>
              <w:pStyle w:val="Compact"/>
              <w:jc w:val="center"/>
            </w:pPr>
            <w:r>
              <w:t xml:space="preserve">Guatemala</w:t>
            </w:r>
          </w:p>
        </w:tc>
        <w:tc>
          <w:tcPr/>
          <w:p>
            <w:pPr>
              <w:pStyle w:val="Compact"/>
              <w:jc w:val="center"/>
            </w:pPr>
            <w:r>
              <w:t xml:space="preserve">New Caledonia</w:t>
            </w:r>
          </w:p>
        </w:tc>
        <w:tc>
          <w:tcPr/>
          <w:p>
            <w:pPr>
              <w:pStyle w:val="Compact"/>
              <w:jc w:val="center"/>
            </w:pPr>
            <w:r>
              <w:t xml:space="preserve">Turkey</w:t>
            </w:r>
          </w:p>
        </w:tc>
      </w:tr>
      <w:tr>
        <w:tc>
          <w:tcPr/>
          <w:p>
            <w:pPr>
              <w:pStyle w:val="Compact"/>
              <w:jc w:val="center"/>
            </w:pPr>
            <w:r>
              <w:t xml:space="preserve">Benin</w:t>
            </w:r>
          </w:p>
        </w:tc>
        <w:tc>
          <w:tcPr/>
          <w:p>
            <w:pPr>
              <w:pStyle w:val="Compact"/>
              <w:jc w:val="center"/>
            </w:pPr>
            <w:r>
              <w:t xml:space="preserve">Guinea</w:t>
            </w:r>
          </w:p>
        </w:tc>
        <w:tc>
          <w:tcPr/>
          <w:p>
            <w:pPr>
              <w:pStyle w:val="Compact"/>
              <w:jc w:val="center"/>
            </w:pPr>
            <w:r>
              <w:t xml:space="preserve">New Zealand</w:t>
            </w:r>
          </w:p>
        </w:tc>
        <w:tc>
          <w:tcPr/>
          <w:p>
            <w:pPr>
              <w:pStyle w:val="Compact"/>
              <w:jc w:val="center"/>
            </w:pPr>
            <w:r>
              <w:t xml:space="preserve">Turkmenistan</w:t>
            </w:r>
          </w:p>
        </w:tc>
      </w:tr>
      <w:tr>
        <w:tc>
          <w:tcPr/>
          <w:p>
            <w:pPr>
              <w:pStyle w:val="Compact"/>
              <w:jc w:val="center"/>
            </w:pPr>
            <w:r>
              <w:t xml:space="preserve">Bhutan</w:t>
            </w:r>
          </w:p>
        </w:tc>
        <w:tc>
          <w:tcPr/>
          <w:p>
            <w:pPr>
              <w:pStyle w:val="Compact"/>
              <w:jc w:val="center"/>
            </w:pPr>
            <w:r>
              <w:t xml:space="preserve">Guinea-Bissau</w:t>
            </w:r>
          </w:p>
        </w:tc>
        <w:tc>
          <w:tcPr/>
          <w:p>
            <w:pPr>
              <w:pStyle w:val="Compact"/>
              <w:jc w:val="center"/>
            </w:pPr>
            <w:r>
              <w:t xml:space="preserve">Nicaragua</w:t>
            </w:r>
          </w:p>
        </w:tc>
        <w:tc>
          <w:tcPr/>
          <w:p>
            <w:pPr>
              <w:pStyle w:val="Compact"/>
              <w:jc w:val="center"/>
            </w:pPr>
            <w:r>
              <w:t xml:space="preserve">Uganda</w:t>
            </w:r>
          </w:p>
        </w:tc>
      </w:tr>
      <w:tr>
        <w:tc>
          <w:tcPr/>
          <w:p>
            <w:pPr>
              <w:pStyle w:val="Compact"/>
              <w:jc w:val="center"/>
            </w:pPr>
            <w:r>
              <w:t xml:space="preserve">Bolivia</w:t>
            </w:r>
          </w:p>
        </w:tc>
        <w:tc>
          <w:tcPr/>
          <w:p>
            <w:pPr>
              <w:pStyle w:val="Compact"/>
              <w:jc w:val="center"/>
            </w:pPr>
            <w:r>
              <w:t xml:space="preserve">Guyana</w:t>
            </w:r>
          </w:p>
        </w:tc>
        <w:tc>
          <w:tcPr/>
          <w:p>
            <w:pPr>
              <w:pStyle w:val="Compact"/>
              <w:jc w:val="center"/>
            </w:pPr>
            <w:r>
              <w:t xml:space="preserve">Niger</w:t>
            </w:r>
          </w:p>
        </w:tc>
        <w:tc>
          <w:tcPr/>
          <w:p>
            <w:pPr>
              <w:pStyle w:val="Compact"/>
              <w:jc w:val="center"/>
            </w:pPr>
            <w:r>
              <w:t xml:space="preserve">Ukraine</w:t>
            </w:r>
          </w:p>
        </w:tc>
      </w:tr>
      <w:tr>
        <w:tc>
          <w:tcPr/>
          <w:p>
            <w:pPr>
              <w:pStyle w:val="Compact"/>
              <w:jc w:val="center"/>
            </w:pPr>
            <w:r>
              <w:t xml:space="preserve">Bosnia and Herzegovina</w:t>
            </w:r>
          </w:p>
        </w:tc>
        <w:tc>
          <w:tcPr/>
          <w:p>
            <w:pPr>
              <w:pStyle w:val="Compact"/>
              <w:jc w:val="center"/>
            </w:pPr>
            <w:r>
              <w:t xml:space="preserve">Haiti</w:t>
            </w:r>
          </w:p>
        </w:tc>
        <w:tc>
          <w:tcPr/>
          <w:p>
            <w:pPr>
              <w:pStyle w:val="Compact"/>
              <w:jc w:val="center"/>
            </w:pPr>
            <w:r>
              <w:t xml:space="preserve">Nigeria</w:t>
            </w:r>
          </w:p>
        </w:tc>
        <w:tc>
          <w:tcPr/>
          <w:p>
            <w:pPr>
              <w:pStyle w:val="Compact"/>
              <w:jc w:val="center"/>
            </w:pPr>
            <w:r>
              <w:t xml:space="preserve">United Arab Emirates</w:t>
            </w:r>
          </w:p>
        </w:tc>
      </w:tr>
      <w:tr>
        <w:tc>
          <w:tcPr/>
          <w:p>
            <w:pPr>
              <w:pStyle w:val="Compact"/>
              <w:jc w:val="center"/>
            </w:pPr>
            <w:r>
              <w:t xml:space="preserve">Botswana</w:t>
            </w:r>
          </w:p>
        </w:tc>
        <w:tc>
          <w:tcPr/>
          <w:p>
            <w:pPr>
              <w:pStyle w:val="Compact"/>
              <w:jc w:val="center"/>
            </w:pPr>
            <w:r>
              <w:t xml:space="preserve">Honduras</w:t>
            </w:r>
          </w:p>
        </w:tc>
        <w:tc>
          <w:tcPr/>
          <w:p>
            <w:pPr>
              <w:pStyle w:val="Compact"/>
              <w:jc w:val="center"/>
            </w:pPr>
            <w:r>
              <w:t xml:space="preserve">Norway</w:t>
            </w:r>
          </w:p>
        </w:tc>
        <w:tc>
          <w:tcPr/>
          <w:p>
            <w:pPr>
              <w:pStyle w:val="Compact"/>
              <w:jc w:val="center"/>
            </w:pPr>
            <w:r>
              <w:t xml:space="preserve">United Kingdom</w:t>
            </w:r>
          </w:p>
        </w:tc>
      </w:tr>
      <w:tr>
        <w:tc>
          <w:tcPr/>
          <w:p>
            <w:pPr>
              <w:pStyle w:val="Compact"/>
              <w:jc w:val="center"/>
            </w:pPr>
            <w:r>
              <w:t xml:space="preserve">Brazil</w:t>
            </w:r>
          </w:p>
        </w:tc>
        <w:tc>
          <w:tcPr/>
          <w:p>
            <w:pPr>
              <w:pStyle w:val="Compact"/>
              <w:jc w:val="center"/>
            </w:pPr>
            <w:r>
              <w:t xml:space="preserve">Hungary</w:t>
            </w:r>
          </w:p>
        </w:tc>
        <w:tc>
          <w:tcPr/>
          <w:p>
            <w:pPr>
              <w:pStyle w:val="Compact"/>
              <w:jc w:val="center"/>
            </w:pPr>
            <w:r>
              <w:t xml:space="preserve">Oman</w:t>
            </w:r>
          </w:p>
        </w:tc>
        <w:tc>
          <w:tcPr/>
          <w:p>
            <w:pPr>
              <w:pStyle w:val="Compact"/>
              <w:jc w:val="center"/>
            </w:pPr>
            <w:r>
              <w:t xml:space="preserve">Uruguay</w:t>
            </w:r>
          </w:p>
        </w:tc>
      </w:tr>
      <w:tr>
        <w:tc>
          <w:tcPr/>
          <w:p>
            <w:pPr>
              <w:pStyle w:val="Compact"/>
              <w:jc w:val="center"/>
            </w:pPr>
            <w:r>
              <w:t xml:space="preserve">Brunei Darussalam</w:t>
            </w:r>
          </w:p>
        </w:tc>
        <w:tc>
          <w:tcPr/>
          <w:p>
            <w:pPr>
              <w:pStyle w:val="Compact"/>
              <w:jc w:val="center"/>
            </w:pPr>
            <w:r>
              <w:t xml:space="preserve">India</w:t>
            </w:r>
          </w:p>
        </w:tc>
        <w:tc>
          <w:tcPr/>
          <w:p>
            <w:pPr>
              <w:pStyle w:val="Compact"/>
              <w:jc w:val="center"/>
            </w:pPr>
            <w:r>
              <w:t xml:space="preserve">Pakistan</w:t>
            </w:r>
          </w:p>
        </w:tc>
        <w:tc>
          <w:tcPr/>
          <w:p>
            <w:pPr>
              <w:pStyle w:val="Compact"/>
              <w:jc w:val="center"/>
            </w:pPr>
            <w:r>
              <w:t xml:space="preserve">USA</w:t>
            </w:r>
          </w:p>
        </w:tc>
      </w:tr>
      <w:tr>
        <w:tc>
          <w:tcPr/>
          <w:p>
            <w:pPr>
              <w:pStyle w:val="Compact"/>
              <w:jc w:val="center"/>
            </w:pPr>
            <w:r>
              <w:t xml:space="preserve">Bulgaria</w:t>
            </w:r>
          </w:p>
        </w:tc>
        <w:tc>
          <w:tcPr/>
          <w:p>
            <w:pPr>
              <w:pStyle w:val="Compact"/>
              <w:jc w:val="center"/>
            </w:pPr>
            <w:r>
              <w:t xml:space="preserve">Indonesia</w:t>
            </w:r>
          </w:p>
        </w:tc>
        <w:tc>
          <w:tcPr/>
          <w:p>
            <w:pPr>
              <w:pStyle w:val="Compact"/>
              <w:jc w:val="center"/>
            </w:pPr>
            <w:r>
              <w:t xml:space="preserve">Panama</w:t>
            </w:r>
          </w:p>
        </w:tc>
        <w:tc>
          <w:tcPr/>
          <w:p>
            <w:pPr>
              <w:pStyle w:val="Compact"/>
              <w:jc w:val="center"/>
            </w:pPr>
            <w:r>
              <w:t xml:space="preserve">Uzbekistan</w:t>
            </w:r>
          </w:p>
        </w:tc>
      </w:tr>
      <w:tr>
        <w:tc>
          <w:tcPr/>
          <w:p>
            <w:pPr>
              <w:pStyle w:val="Compact"/>
              <w:jc w:val="center"/>
            </w:pPr>
            <w:r>
              <w:t xml:space="preserve">Burkina Faso</w:t>
            </w:r>
          </w:p>
        </w:tc>
        <w:tc>
          <w:tcPr/>
          <w:p>
            <w:pPr>
              <w:pStyle w:val="Compact"/>
              <w:jc w:val="center"/>
            </w:pPr>
            <w:r>
              <w:t xml:space="preserve">Iran, Islamic Rep of</w:t>
            </w:r>
          </w:p>
        </w:tc>
        <w:tc>
          <w:tcPr/>
          <w:p>
            <w:pPr>
              <w:pStyle w:val="Compact"/>
              <w:jc w:val="center"/>
            </w:pPr>
            <w:r>
              <w:t xml:space="preserve">Papua New Guinea</w:t>
            </w:r>
          </w:p>
        </w:tc>
        <w:tc>
          <w:tcPr/>
          <w:p>
            <w:pPr>
              <w:pStyle w:val="Compact"/>
              <w:jc w:val="center"/>
            </w:pPr>
            <w:r>
              <w:t xml:space="preserve">Vanuatu</w:t>
            </w:r>
          </w:p>
        </w:tc>
      </w:tr>
      <w:tr>
        <w:tc>
          <w:tcPr/>
          <w:p>
            <w:pPr>
              <w:pStyle w:val="Compact"/>
              <w:jc w:val="center"/>
            </w:pPr>
            <w:r>
              <w:t xml:space="preserve">Burundi</w:t>
            </w:r>
          </w:p>
        </w:tc>
        <w:tc>
          <w:tcPr/>
          <w:p>
            <w:pPr>
              <w:pStyle w:val="Compact"/>
              <w:jc w:val="center"/>
            </w:pPr>
            <w:r>
              <w:t xml:space="preserve">Iraq</w:t>
            </w:r>
          </w:p>
        </w:tc>
        <w:tc>
          <w:tcPr/>
          <w:p>
            <w:pPr>
              <w:pStyle w:val="Compact"/>
              <w:jc w:val="center"/>
            </w:pPr>
            <w:r>
              <w:t xml:space="preserve">Paraguay</w:t>
            </w:r>
          </w:p>
        </w:tc>
        <w:tc>
          <w:tcPr/>
          <w:p>
            <w:pPr>
              <w:pStyle w:val="Compact"/>
              <w:jc w:val="center"/>
            </w:pPr>
            <w:r>
              <w:t xml:space="preserve">Venezuela, Boliv Rep of</w:t>
            </w:r>
          </w:p>
        </w:tc>
      </w:tr>
      <w:tr>
        <w:tc>
          <w:tcPr/>
          <w:p>
            <w:pPr>
              <w:pStyle w:val="Compact"/>
              <w:jc w:val="center"/>
            </w:pPr>
            <w:r>
              <w:t xml:space="preserve">Cambodia</w:t>
            </w:r>
          </w:p>
        </w:tc>
        <w:tc>
          <w:tcPr/>
          <w:p>
            <w:pPr>
              <w:pStyle w:val="Compact"/>
              <w:jc w:val="center"/>
            </w:pPr>
            <w:r>
              <w:t xml:space="preserve">Ireland</w:t>
            </w:r>
          </w:p>
        </w:tc>
        <w:tc>
          <w:tcPr/>
          <w:p>
            <w:pPr>
              <w:pStyle w:val="Compact"/>
              <w:jc w:val="center"/>
            </w:pPr>
            <w:r>
              <w:t xml:space="preserve">Peru</w:t>
            </w:r>
          </w:p>
        </w:tc>
        <w:tc>
          <w:tcPr/>
          <w:p>
            <w:pPr>
              <w:pStyle w:val="Compact"/>
              <w:jc w:val="center"/>
            </w:pPr>
            <w:r>
              <w:t xml:space="preserve">Viet Nam</w:t>
            </w:r>
          </w:p>
        </w:tc>
      </w:tr>
      <w:tr>
        <w:tc>
          <w:tcPr/>
          <w:p>
            <w:pPr>
              <w:pStyle w:val="Compact"/>
              <w:jc w:val="center"/>
            </w:pPr>
            <w:r>
              <w:t xml:space="preserve">Cameroon</w:t>
            </w:r>
          </w:p>
        </w:tc>
        <w:tc>
          <w:tcPr/>
          <w:p>
            <w:pPr>
              <w:pStyle w:val="Compact"/>
              <w:jc w:val="center"/>
            </w:pPr>
            <w:r>
              <w:t xml:space="preserve">Israel</w:t>
            </w:r>
          </w:p>
        </w:tc>
        <w:tc>
          <w:tcPr/>
          <w:p>
            <w:pPr>
              <w:pStyle w:val="Compact"/>
              <w:jc w:val="center"/>
            </w:pPr>
            <w:r>
              <w:t xml:space="preserve">Philippines</w:t>
            </w:r>
          </w:p>
        </w:tc>
        <w:tc>
          <w:tcPr/>
          <w:p>
            <w:pPr>
              <w:pStyle w:val="Compact"/>
              <w:jc w:val="center"/>
            </w:pPr>
            <w:r>
              <w:t xml:space="preserve">Yemen</w:t>
            </w:r>
          </w:p>
        </w:tc>
      </w:tr>
      <w:tr>
        <w:tc>
          <w:tcPr/>
          <w:p>
            <w:pPr>
              <w:pStyle w:val="Compact"/>
              <w:jc w:val="center"/>
            </w:pPr>
            <w:r>
              <w:t xml:space="preserve">Canada</w:t>
            </w:r>
          </w:p>
        </w:tc>
        <w:tc>
          <w:tcPr/>
          <w:p>
            <w:pPr>
              <w:pStyle w:val="Compact"/>
              <w:jc w:val="center"/>
            </w:pPr>
            <w:r>
              <w:t xml:space="preserve">Italy</w:t>
            </w:r>
          </w:p>
        </w:tc>
        <w:tc>
          <w:tcPr/>
          <w:p>
            <w:pPr>
              <w:pStyle w:val="Compact"/>
              <w:jc w:val="center"/>
            </w:pPr>
            <w:r>
              <w:t xml:space="preserve">Poland</w:t>
            </w:r>
          </w:p>
        </w:tc>
        <w:tc>
          <w:tcPr/>
          <w:p>
            <w:pPr>
              <w:pStyle w:val="Compact"/>
              <w:jc w:val="center"/>
            </w:pPr>
            <w:r>
              <w:t xml:space="preserve">Zambia</w:t>
            </w:r>
          </w:p>
        </w:tc>
      </w:tr>
      <w:tr>
        <w:tc>
          <w:tcPr/>
          <w:p>
            <w:pPr>
              <w:pStyle w:val="Compact"/>
              <w:jc w:val="center"/>
            </w:pPr>
            <w:r>
              <w:t xml:space="preserve">Cape Verde</w:t>
            </w:r>
          </w:p>
        </w:tc>
        <w:tc>
          <w:tcPr/>
          <w:p>
            <w:pPr>
              <w:pStyle w:val="Compact"/>
              <w:jc w:val="center"/>
            </w:pPr>
            <w:r>
              <w:t xml:space="preserve">Jamaica</w:t>
            </w:r>
          </w:p>
        </w:tc>
        <w:tc>
          <w:tcPr/>
          <w:p>
            <w:pPr>
              <w:pStyle w:val="Compact"/>
              <w:jc w:val="center"/>
            </w:pPr>
            <w:r>
              <w:t xml:space="preserve">Portugal</w:t>
            </w:r>
          </w:p>
        </w:tc>
        <w:tc>
          <w:tcPr/>
          <w:p>
            <w:pPr>
              <w:pStyle w:val="Compact"/>
              <w:jc w:val="center"/>
            </w:pPr>
            <w:r>
              <w:t xml:space="preserve">Zimbabwe</w:t>
            </w:r>
          </w:p>
        </w:tc>
      </w:tr>
      <w:tr>
        <w:tc>
          <w:tcPr/>
          <w:p>
            <w:pPr>
              <w:pStyle w:val="Compact"/>
              <w:jc w:val="center"/>
            </w:pPr>
            <w:r>
              <w:t xml:space="preserve">Central African Republic</w:t>
            </w:r>
          </w:p>
        </w:tc>
        <w:tc>
          <w:tcPr/>
          <w:p>
            <w:pPr>
              <w:pStyle w:val="Compact"/>
              <w:jc w:val="center"/>
            </w:pPr>
            <w:r>
              <w:t xml:space="preserve">Japan</w:t>
            </w:r>
          </w:p>
        </w:tc>
        <w:tc>
          <w:tcPr/>
          <w:p>
            <w:pPr>
              <w:pStyle w:val="Compact"/>
              <w:jc w:val="center"/>
            </w:pPr>
            <w:r>
              <w:t xml:space="preserve">Qatar</w:t>
            </w:r>
          </w:p>
        </w:tc>
        <w:tc>
          <w:tcPr/>
          <w:p>
            <w:pPr>
              <w:pStyle w:val="Compact"/>
            </w:pPr>
          </w:p>
        </w:tc>
      </w:tr>
      <w:tr>
        <w:tc>
          <w:tcPr/>
          <w:p>
            <w:pPr>
              <w:pStyle w:val="Compact"/>
              <w:jc w:val="center"/>
            </w:pPr>
            <w:r>
              <w:t xml:space="preserve">Chad</w:t>
            </w:r>
          </w:p>
        </w:tc>
        <w:tc>
          <w:tcPr/>
          <w:p>
            <w:pPr>
              <w:pStyle w:val="Compact"/>
              <w:jc w:val="center"/>
            </w:pPr>
            <w:r>
              <w:t xml:space="preserve">Jordan</w:t>
            </w:r>
          </w:p>
        </w:tc>
        <w:tc>
          <w:tcPr/>
          <w:p>
            <w:pPr>
              <w:pStyle w:val="Compact"/>
              <w:jc w:val="center"/>
            </w:pPr>
            <w:r>
              <w:t xml:space="preserve">Réunion</w:t>
            </w:r>
          </w:p>
        </w:tc>
        <w:tc>
          <w:tcPr/>
          <w:p>
            <w:pPr>
              <w:pStyle w:val="Compact"/>
            </w:pPr>
          </w:p>
        </w:tc>
      </w:tr>
      <w:tr>
        <w:tc>
          <w:tcPr/>
          <w:p>
            <w:pPr>
              <w:pStyle w:val="Compact"/>
              <w:jc w:val="center"/>
            </w:pPr>
            <w:r>
              <w:t xml:space="preserve">Chile</w:t>
            </w:r>
          </w:p>
        </w:tc>
        <w:tc>
          <w:tcPr/>
          <w:p>
            <w:pPr>
              <w:pStyle w:val="Compact"/>
              <w:jc w:val="center"/>
            </w:pPr>
            <w:r>
              <w:t xml:space="preserve">Kazakhstan</w:t>
            </w:r>
          </w:p>
        </w:tc>
        <w:tc>
          <w:tcPr/>
          <w:p>
            <w:pPr>
              <w:pStyle w:val="Compact"/>
              <w:jc w:val="center"/>
            </w:pPr>
            <w:r>
              <w:t xml:space="preserve">Romania</w:t>
            </w:r>
          </w:p>
        </w:tc>
        <w:tc>
          <w:tcPr/>
          <w:p>
            <w:pPr>
              <w:pStyle w:val="Compact"/>
            </w:pPr>
          </w:p>
        </w:tc>
      </w:tr>
      <w:tr>
        <w:tc>
          <w:tcPr/>
          <w:p>
            <w:pPr>
              <w:pStyle w:val="Compact"/>
              <w:jc w:val="center"/>
            </w:pPr>
            <w:r>
              <w:t xml:space="preserve">China</w:t>
            </w:r>
          </w:p>
        </w:tc>
        <w:tc>
          <w:tcPr/>
          <w:p>
            <w:pPr>
              <w:pStyle w:val="Compact"/>
              <w:jc w:val="center"/>
            </w:pPr>
            <w:r>
              <w:t xml:space="preserve">Kenya</w:t>
            </w:r>
          </w:p>
        </w:tc>
        <w:tc>
          <w:tcPr/>
          <w:p>
            <w:pPr>
              <w:pStyle w:val="Compact"/>
              <w:jc w:val="center"/>
            </w:pPr>
            <w:r>
              <w:t xml:space="preserve">Russian Federation</w:t>
            </w:r>
          </w:p>
        </w:tc>
        <w:tc>
          <w:tcPr/>
          <w:p>
            <w:pPr>
              <w:pStyle w:val="Compact"/>
            </w:pPr>
          </w:p>
        </w:tc>
      </w:tr>
      <w:tr>
        <w:tc>
          <w:tcPr/>
          <w:p>
            <w:pPr>
              <w:pStyle w:val="Compact"/>
              <w:jc w:val="center"/>
            </w:pPr>
            <w:r>
              <w:t xml:space="preserve">Colombia</w:t>
            </w:r>
          </w:p>
        </w:tc>
        <w:tc>
          <w:tcPr/>
          <w:p>
            <w:pPr>
              <w:pStyle w:val="Compact"/>
              <w:jc w:val="center"/>
            </w:pPr>
            <w:r>
              <w:t xml:space="preserve">Korea, Dem People's Rep</w:t>
            </w:r>
          </w:p>
        </w:tc>
        <w:tc>
          <w:tcPr/>
          <w:p>
            <w:pPr>
              <w:pStyle w:val="Compact"/>
              <w:jc w:val="center"/>
            </w:pPr>
            <w:r>
              <w:t xml:space="preserve">Rwanda</w:t>
            </w:r>
          </w:p>
        </w:tc>
        <w:tc>
          <w:tcPr/>
          <w:p>
            <w:pPr>
              <w:pStyle w:val="Compact"/>
            </w:pPr>
          </w:p>
        </w:tc>
      </w:tr>
      <w:tr>
        <w:tc>
          <w:tcPr/>
          <w:p>
            <w:pPr>
              <w:pStyle w:val="Compact"/>
              <w:jc w:val="center"/>
            </w:pPr>
            <w:r>
              <w:t xml:space="preserve">Congo, Dem Republic of</w:t>
            </w:r>
          </w:p>
        </w:tc>
        <w:tc>
          <w:tcPr/>
          <w:p>
            <w:pPr>
              <w:pStyle w:val="Compact"/>
              <w:jc w:val="center"/>
            </w:pPr>
            <w:r>
              <w:t xml:space="preserve">Korea, Republic of</w:t>
            </w:r>
          </w:p>
        </w:tc>
        <w:tc>
          <w:tcPr/>
          <w:p>
            <w:pPr>
              <w:pStyle w:val="Compact"/>
              <w:jc w:val="center"/>
            </w:pPr>
            <w:r>
              <w:t xml:space="preserve">Saint Lucia</w:t>
            </w:r>
          </w:p>
        </w:tc>
        <w:tc>
          <w:tcPr/>
          <w:p>
            <w:pPr>
              <w:pStyle w:val="Compact"/>
            </w:pPr>
          </w:p>
        </w:tc>
      </w:tr>
      <w:tr>
        <w:tc>
          <w:tcPr/>
          <w:p>
            <w:pPr>
              <w:pStyle w:val="Compact"/>
              <w:jc w:val="center"/>
            </w:pPr>
            <w:r>
              <w:t xml:space="preserve">Congo, Republic of</w:t>
            </w:r>
          </w:p>
        </w:tc>
        <w:tc>
          <w:tcPr/>
          <w:p>
            <w:pPr>
              <w:pStyle w:val="Compact"/>
              <w:jc w:val="center"/>
            </w:pPr>
            <w:r>
              <w:t xml:space="preserve">Kuwait</w:t>
            </w:r>
          </w:p>
        </w:tc>
        <w:tc>
          <w:tcPr/>
          <w:p>
            <w:pPr>
              <w:pStyle w:val="Compact"/>
              <w:jc w:val="center"/>
            </w:pPr>
            <w:r>
              <w:t xml:space="preserve">Samoa</w:t>
            </w:r>
          </w:p>
        </w:tc>
        <w:tc>
          <w:tcPr/>
          <w:p>
            <w:pPr>
              <w:pStyle w:val="Compact"/>
            </w:pPr>
          </w:p>
        </w:tc>
      </w:tr>
      <w:tr>
        <w:tc>
          <w:tcPr/>
          <w:p>
            <w:pPr>
              <w:pStyle w:val="Compact"/>
              <w:jc w:val="center"/>
            </w:pPr>
            <w:r>
              <w:t xml:space="preserve">Cook Islands</w:t>
            </w:r>
          </w:p>
        </w:tc>
        <w:tc>
          <w:tcPr/>
          <w:p>
            <w:pPr>
              <w:pStyle w:val="Compact"/>
              <w:jc w:val="center"/>
            </w:pPr>
            <w:r>
              <w:t xml:space="preserve">Kyrgyzstan</w:t>
            </w:r>
          </w:p>
        </w:tc>
        <w:tc>
          <w:tcPr/>
          <w:p>
            <w:pPr>
              <w:pStyle w:val="Compact"/>
              <w:jc w:val="center"/>
            </w:pPr>
            <w:r>
              <w:t xml:space="preserve">Sao Tome and Principe</w:t>
            </w:r>
          </w:p>
        </w:tc>
        <w:tc>
          <w:tcPr/>
          <w:p>
            <w:pPr>
              <w:pStyle w:val="Compact"/>
            </w:pPr>
          </w:p>
        </w:tc>
      </w:tr>
      <w:tr>
        <w:tc>
          <w:tcPr/>
          <w:p>
            <w:pPr>
              <w:pStyle w:val="Compact"/>
              <w:jc w:val="center"/>
            </w:pPr>
            <w:r>
              <w:t xml:space="preserve">Costa Rica</w:t>
            </w:r>
          </w:p>
        </w:tc>
        <w:tc>
          <w:tcPr/>
          <w:p>
            <w:pPr>
              <w:pStyle w:val="Compact"/>
              <w:jc w:val="center"/>
            </w:pPr>
            <w:r>
              <w:t xml:space="preserve">Laos</w:t>
            </w:r>
          </w:p>
        </w:tc>
        <w:tc>
          <w:tcPr/>
          <w:p>
            <w:pPr>
              <w:pStyle w:val="Compact"/>
              <w:jc w:val="center"/>
            </w:pPr>
            <w:r>
              <w:t xml:space="preserve">Saudi Arabia</w:t>
            </w:r>
          </w:p>
        </w:tc>
        <w:tc>
          <w:tcPr/>
          <w:p>
            <w:pPr>
              <w:pStyle w:val="Compact"/>
            </w:pPr>
          </w:p>
        </w:tc>
      </w:tr>
      <w:tr>
        <w:tc>
          <w:tcPr/>
          <w:p>
            <w:pPr>
              <w:pStyle w:val="Compact"/>
              <w:jc w:val="center"/>
            </w:pPr>
            <w:r>
              <w:t xml:space="preserve">Côte d'Ivoire</w:t>
            </w:r>
          </w:p>
        </w:tc>
        <w:tc>
          <w:tcPr/>
          <w:p>
            <w:pPr>
              <w:pStyle w:val="Compact"/>
              <w:jc w:val="center"/>
            </w:pPr>
            <w:r>
              <w:t xml:space="preserve">Latvia</w:t>
            </w:r>
          </w:p>
        </w:tc>
        <w:tc>
          <w:tcPr/>
          <w:p>
            <w:pPr>
              <w:pStyle w:val="Compact"/>
              <w:jc w:val="center"/>
            </w:pPr>
            <w:r>
              <w:t xml:space="preserve">Senegal</w:t>
            </w:r>
          </w:p>
        </w:tc>
        <w:tc>
          <w:tcPr/>
          <w:p>
            <w:pPr>
              <w:pStyle w:val="Compact"/>
            </w:pPr>
          </w:p>
        </w:tc>
      </w:tr>
      <w:tr>
        <w:tc>
          <w:tcPr/>
          <w:p>
            <w:pPr>
              <w:pStyle w:val="Compact"/>
              <w:jc w:val="center"/>
            </w:pPr>
            <w:r>
              <w:t xml:space="preserve">Croatia</w:t>
            </w:r>
          </w:p>
        </w:tc>
        <w:tc>
          <w:tcPr/>
          <w:p>
            <w:pPr>
              <w:pStyle w:val="Compact"/>
              <w:jc w:val="center"/>
            </w:pPr>
            <w:r>
              <w:t xml:space="preserve">Lebanon</w:t>
            </w:r>
          </w:p>
        </w:tc>
        <w:tc>
          <w:tcPr/>
          <w:p>
            <w:pPr>
              <w:pStyle w:val="Compact"/>
              <w:jc w:val="center"/>
            </w:pPr>
            <w:r>
              <w:t xml:space="preserve">Serbia</w:t>
            </w:r>
          </w:p>
        </w:tc>
        <w:tc>
          <w:tcPr/>
          <w:p>
            <w:pPr>
              <w:pStyle w:val="Compact"/>
            </w:pPr>
          </w:p>
        </w:tc>
      </w:tr>
      <w:tr>
        <w:tc>
          <w:tcPr/>
          <w:p>
            <w:pPr>
              <w:pStyle w:val="Compact"/>
              <w:jc w:val="center"/>
            </w:pPr>
            <w:r>
              <w:t xml:space="preserve">Cuba</w:t>
            </w:r>
          </w:p>
        </w:tc>
        <w:tc>
          <w:tcPr/>
          <w:p>
            <w:pPr>
              <w:pStyle w:val="Compact"/>
              <w:jc w:val="center"/>
            </w:pPr>
            <w:r>
              <w:t xml:space="preserve">Lesotho</w:t>
            </w:r>
          </w:p>
        </w:tc>
        <w:tc>
          <w:tcPr/>
          <w:p>
            <w:pPr>
              <w:pStyle w:val="Compact"/>
              <w:jc w:val="center"/>
            </w:pPr>
            <w:r>
              <w:t xml:space="preserve">Sierra Leone</w:t>
            </w:r>
          </w:p>
        </w:tc>
        <w:tc>
          <w:tcPr/>
          <w:p>
            <w:pPr>
              <w:pStyle w:val="Compact"/>
            </w:pPr>
          </w:p>
        </w:tc>
      </w:tr>
      <w:tr>
        <w:tc>
          <w:tcPr/>
          <w:p>
            <w:pPr>
              <w:pStyle w:val="Compact"/>
              <w:jc w:val="center"/>
            </w:pPr>
            <w:r>
              <w:t xml:space="preserve">Cyprus</w:t>
            </w:r>
          </w:p>
        </w:tc>
        <w:tc>
          <w:tcPr/>
          <w:p>
            <w:pPr>
              <w:pStyle w:val="Compact"/>
              <w:jc w:val="center"/>
            </w:pPr>
            <w:r>
              <w:t xml:space="preserve">Liberia</w:t>
            </w:r>
          </w:p>
        </w:tc>
        <w:tc>
          <w:tcPr/>
          <w:p>
            <w:pPr>
              <w:pStyle w:val="Compact"/>
              <w:jc w:val="center"/>
            </w:pPr>
            <w:r>
              <w:t xml:space="preserve">Singapore</w:t>
            </w:r>
          </w:p>
        </w:tc>
        <w:tc>
          <w:tcPr/>
          <w:p>
            <w:pPr>
              <w:pStyle w:val="Compact"/>
            </w:pPr>
          </w:p>
        </w:tc>
      </w:tr>
      <w:tr>
        <w:tc>
          <w:tcPr/>
          <w:p>
            <w:pPr>
              <w:pStyle w:val="Compact"/>
              <w:jc w:val="center"/>
            </w:pPr>
            <w:r>
              <w:t xml:space="preserve">Czech Republic</w:t>
            </w:r>
          </w:p>
        </w:tc>
        <w:tc>
          <w:tcPr/>
          <w:p>
            <w:pPr>
              <w:pStyle w:val="Compact"/>
              <w:jc w:val="center"/>
            </w:pPr>
            <w:r>
              <w:t xml:space="preserve">Libya</w:t>
            </w:r>
          </w:p>
        </w:tc>
        <w:tc>
          <w:tcPr/>
          <w:p>
            <w:pPr>
              <w:pStyle w:val="Compact"/>
              <w:jc w:val="center"/>
            </w:pPr>
            <w:r>
              <w:t xml:space="preserve">Slovakia</w:t>
            </w:r>
          </w:p>
        </w:tc>
        <w:tc>
          <w:tcPr/>
          <w:p>
            <w:pPr>
              <w:pStyle w:val="Compact"/>
            </w:pPr>
          </w:p>
        </w:tc>
      </w:tr>
      <w:tr>
        <w:tc>
          <w:tcPr/>
          <w:p>
            <w:pPr>
              <w:pStyle w:val="Compact"/>
              <w:jc w:val="center"/>
            </w:pPr>
            <w:r>
              <w:t xml:space="preserve">Denmark</w:t>
            </w:r>
          </w:p>
        </w:tc>
        <w:tc>
          <w:tcPr/>
          <w:p>
            <w:pPr>
              <w:pStyle w:val="Compact"/>
              <w:jc w:val="center"/>
            </w:pPr>
            <w:r>
              <w:t xml:space="preserve">Lithuania</w:t>
            </w:r>
          </w:p>
        </w:tc>
        <w:tc>
          <w:tcPr/>
          <w:p>
            <w:pPr>
              <w:pStyle w:val="Compact"/>
              <w:jc w:val="center"/>
            </w:pPr>
            <w:r>
              <w:t xml:space="preserve">Slovenia</w:t>
            </w:r>
          </w:p>
        </w:tc>
        <w:tc>
          <w:tcPr/>
          <w:p>
            <w:pPr>
              <w:pStyle w:val="Compact"/>
            </w:pPr>
          </w:p>
        </w:tc>
      </w:tr>
      <w:tr>
        <w:tc>
          <w:tcPr/>
          <w:p>
            <w:pPr>
              <w:pStyle w:val="Compact"/>
              <w:jc w:val="center"/>
            </w:pPr>
            <w:r>
              <w:t xml:space="preserve">Djibouti</w:t>
            </w:r>
          </w:p>
        </w:tc>
        <w:tc>
          <w:tcPr/>
          <w:p>
            <w:pPr>
              <w:pStyle w:val="Compact"/>
              <w:jc w:val="center"/>
            </w:pPr>
            <w:r>
              <w:t xml:space="preserve">Luxembourg</w:t>
            </w:r>
          </w:p>
        </w:tc>
        <w:tc>
          <w:tcPr/>
          <w:p>
            <w:pPr>
              <w:pStyle w:val="Compact"/>
              <w:jc w:val="center"/>
            </w:pPr>
            <w:r>
              <w:t xml:space="preserve">Solomon Islands</w:t>
            </w:r>
          </w:p>
        </w:tc>
        <w:tc>
          <w:tcPr/>
          <w:p>
            <w:pPr>
              <w:pStyle w:val="Compact"/>
            </w:pPr>
          </w:p>
        </w:tc>
      </w:tr>
      <w:tr>
        <w:tc>
          <w:tcPr/>
          <w:p>
            <w:pPr>
              <w:pStyle w:val="Compact"/>
              <w:jc w:val="center"/>
            </w:pPr>
            <w:r>
              <w:t xml:space="preserve">Dominica</w:t>
            </w:r>
          </w:p>
        </w:tc>
        <w:tc>
          <w:tcPr/>
          <w:p>
            <w:pPr>
              <w:pStyle w:val="Compact"/>
              <w:jc w:val="center"/>
            </w:pPr>
            <w:r>
              <w:t xml:space="preserve">Macedonia</w:t>
            </w:r>
          </w:p>
        </w:tc>
        <w:tc>
          <w:tcPr/>
          <w:p>
            <w:pPr>
              <w:pStyle w:val="Compact"/>
              <w:jc w:val="center"/>
            </w:pPr>
            <w:r>
              <w:t xml:space="preserve">Somalia</w:t>
            </w:r>
          </w:p>
        </w:tc>
        <w:tc>
          <w:tcPr/>
          <w:p>
            <w:pPr>
              <w:pStyle w:val="Compact"/>
            </w:pPr>
          </w:p>
        </w:tc>
      </w:tr>
      <w:tr>
        <w:tc>
          <w:tcPr/>
          <w:p>
            <w:pPr>
              <w:pStyle w:val="Compact"/>
              <w:jc w:val="center"/>
            </w:pPr>
            <w:r>
              <w:t xml:space="preserve">Dominican Republic</w:t>
            </w:r>
          </w:p>
        </w:tc>
        <w:tc>
          <w:tcPr/>
          <w:p>
            <w:pPr>
              <w:pStyle w:val="Compact"/>
              <w:jc w:val="center"/>
            </w:pPr>
            <w:r>
              <w:t xml:space="preserve">Madagascar</w:t>
            </w:r>
          </w:p>
        </w:tc>
        <w:tc>
          <w:tcPr/>
          <w:p>
            <w:pPr>
              <w:pStyle w:val="Compact"/>
              <w:jc w:val="center"/>
            </w:pPr>
            <w:r>
              <w:t xml:space="preserve">South Africa</w:t>
            </w:r>
          </w:p>
        </w:tc>
        <w:tc>
          <w:tcPr/>
          <w:p>
            <w:pPr>
              <w:pStyle w:val="Compact"/>
            </w:pPr>
          </w:p>
        </w:tc>
      </w:tr>
      <w:tr>
        <w:tc>
          <w:tcPr/>
          <w:p>
            <w:pPr>
              <w:pStyle w:val="Compact"/>
              <w:jc w:val="center"/>
            </w:pPr>
            <w:r>
              <w:t xml:space="preserve">Ecuador</w:t>
            </w:r>
          </w:p>
        </w:tc>
        <w:tc>
          <w:tcPr/>
          <w:p>
            <w:pPr>
              <w:pStyle w:val="Compact"/>
              <w:jc w:val="center"/>
            </w:pPr>
            <w:r>
              <w:t xml:space="preserve">Malawi</w:t>
            </w:r>
          </w:p>
        </w:tc>
        <w:tc>
          <w:tcPr/>
          <w:p>
            <w:pPr>
              <w:pStyle w:val="Compact"/>
              <w:jc w:val="center"/>
            </w:pPr>
            <w:r>
              <w:t xml:space="preserve">Spain</w:t>
            </w:r>
          </w:p>
        </w:tc>
        <w:tc>
          <w:tcPr/>
          <w:p>
            <w:pPr>
              <w:pStyle w:val="Compact"/>
            </w:pPr>
          </w:p>
        </w:tc>
      </w:tr>
      <w:tr>
        <w:tc>
          <w:tcPr/>
          <w:p>
            <w:pPr>
              <w:pStyle w:val="Compact"/>
              <w:jc w:val="center"/>
            </w:pPr>
            <w:r>
              <w:t xml:space="preserve">Egypt</w:t>
            </w:r>
          </w:p>
        </w:tc>
        <w:tc>
          <w:tcPr/>
          <w:p>
            <w:pPr>
              <w:pStyle w:val="Compact"/>
              <w:jc w:val="center"/>
            </w:pPr>
            <w:r>
              <w:t xml:space="preserve">Malaysia</w:t>
            </w:r>
          </w:p>
        </w:tc>
        <w:tc>
          <w:tcPr/>
          <w:p>
            <w:pPr>
              <w:pStyle w:val="Compact"/>
              <w:jc w:val="center"/>
            </w:pPr>
            <w:r>
              <w:t xml:space="preserve">Sri Lanka</w:t>
            </w:r>
          </w:p>
        </w:tc>
        <w:tc>
          <w:tcPr/>
          <w:p>
            <w:pPr>
              <w:pStyle w:val="Compact"/>
            </w:pPr>
          </w:p>
        </w:tc>
      </w:tr>
    </w:tbl>
    <w:p>
      <w:pPr>
        <w:pStyle w:val="BodyText"/>
      </w:pPr>
    </w:p>
    <w:bookmarkStart w:id="59" w:name="parameter-list"/>
    <w:p>
      <w:pPr>
        <w:pStyle w:val="Heading3"/>
      </w:pPr>
      <w:r>
        <w:t xml:space="preserve">Parameter list</w:t>
      </w:r>
    </w:p>
    <w:p>
      <w:pPr>
        <w:pStyle w:val="FirstParagraph"/>
      </w:pPr>
      <w:r>
        <w:rPr>
          <w:b/>
          <w:bCs/>
        </w:rPr>
        <w:t xml:space="preserve">Table A4:</w:t>
      </w:r>
      <w:r>
        <w:t xml:space="preserve"> </w:t>
      </w:r>
      <w:r>
        <w:t xml:space="preserve">List of input paramters for TiMBA for each model domain</w:t>
      </w:r>
    </w:p>
    <w:tbl>
      <w:tblPr>
        <w:tblStyle w:val="Table"/>
        <w:tblW w:type="pct" w:w="5000"/>
        <w:tblLayout w:type="fixed"/>
        <w:tblLook w:firstRow="1" w:lastRow="0" w:firstColumn="0" w:lastColumn="0" w:noHBand="0" w:noVBand="0" w:val="0020"/>
      </w:tblPr>
      <w:tblGrid>
        <w:gridCol w:w="2179"/>
        <w:gridCol w:w="1647"/>
        <w:gridCol w:w="1488"/>
        <w:gridCol w:w="1328"/>
        <w:gridCol w:w="1275"/>
      </w:tblGrid>
      <w:tr>
        <w:trPr>
          <w:tblHeader w:val="on"/>
        </w:trPr>
        <w:tc>
          <w:tcPr/>
          <w:p>
            <w:pPr>
              <w:pStyle w:val="Compact"/>
              <w:jc w:val="left"/>
            </w:pPr>
            <w:r>
              <w:t xml:space="preserve">Forest</w:t>
            </w:r>
          </w:p>
        </w:tc>
        <w:tc>
          <w:tcPr/>
          <w:p>
            <w:pPr>
              <w:pStyle w:val="Compact"/>
              <w:jc w:val="left"/>
            </w:pPr>
            <w:r>
              <w:t xml:space="preserve">Supply</w:t>
            </w:r>
          </w:p>
        </w:tc>
        <w:tc>
          <w:tcPr/>
          <w:p>
            <w:pPr>
              <w:pStyle w:val="Compact"/>
              <w:jc w:val="left"/>
            </w:pPr>
            <w:r>
              <w:t xml:space="preserve">Transportation</w:t>
            </w:r>
          </w:p>
        </w:tc>
        <w:tc>
          <w:tcPr/>
          <w:p>
            <w:pPr>
              <w:pStyle w:val="Compact"/>
              <w:jc w:val="left"/>
            </w:pPr>
            <w:r>
              <w:t xml:space="preserve">Demand</w:t>
            </w:r>
          </w:p>
        </w:tc>
        <w:tc>
          <w:tcPr/>
          <w:p>
            <w:pPr>
              <w:pStyle w:val="Compact"/>
              <w:jc w:val="left"/>
            </w:pPr>
            <w:r>
              <w:t xml:space="preserve">Manufacturing</w:t>
            </w:r>
          </w:p>
        </w:tc>
      </w:tr>
      <w:tr>
        <w:tc>
          <w:tcPr/>
          <w:p>
            <w:pPr>
              <w:pStyle w:val="Compact"/>
              <w:jc w:val="left"/>
            </w:pPr>
            <w:r>
              <w:t xml:space="preserve">gdp_per_capita_base_period</w:t>
            </w:r>
          </w:p>
        </w:tc>
        <w:tc>
          <w:tcPr/>
          <w:p>
            <w:pPr>
              <w:pStyle w:val="Compact"/>
              <w:jc w:val="left"/>
            </w:pPr>
            <w:r>
              <w:t xml:space="preserve">price</w:t>
            </w:r>
          </w:p>
        </w:tc>
        <w:tc>
          <w:tcPr/>
          <w:p>
            <w:pPr>
              <w:pStyle w:val="Compact"/>
              <w:jc w:val="left"/>
            </w:pPr>
            <w:r>
              <w:t xml:space="preserve">freight_cost</w:t>
            </w:r>
          </w:p>
        </w:tc>
        <w:tc>
          <w:tcPr/>
          <w:p>
            <w:pPr>
              <w:pStyle w:val="Compact"/>
              <w:jc w:val="left"/>
            </w:pPr>
            <w:r>
              <w:t xml:space="preserve">price</w:t>
            </w:r>
          </w:p>
        </w:tc>
        <w:tc>
          <w:tcPr/>
          <w:p>
            <w:pPr>
              <w:pStyle w:val="Compact"/>
              <w:jc w:val="left"/>
            </w:pPr>
            <w:r>
              <w:t xml:space="preserve">net_manufacturing_cost</w:t>
            </w:r>
          </w:p>
        </w:tc>
      </w:tr>
      <w:tr>
        <w:tc>
          <w:tcPr/>
          <w:p>
            <w:pPr>
              <w:pStyle w:val="Compact"/>
              <w:jc w:val="left"/>
            </w:pPr>
            <w:r>
              <w:t xml:space="preserve">forest_stock</w:t>
            </w:r>
          </w:p>
        </w:tc>
        <w:tc>
          <w:tcPr/>
          <w:p>
            <w:pPr>
              <w:pStyle w:val="Compact"/>
              <w:jc w:val="left"/>
            </w:pPr>
            <w:r>
              <w:t xml:space="preserve">quantity</w:t>
            </w:r>
          </w:p>
        </w:tc>
        <w:tc>
          <w:tcPr/>
          <w:p>
            <w:pPr>
              <w:pStyle w:val="Compact"/>
              <w:jc w:val="left"/>
            </w:pPr>
            <w:r>
              <w:t xml:space="preserve">import_ad_valorem_tax_rate</w:t>
            </w:r>
          </w:p>
        </w:tc>
        <w:tc>
          <w:tcPr/>
          <w:p>
            <w:pPr>
              <w:pStyle w:val="Compact"/>
              <w:jc w:val="left"/>
            </w:pPr>
            <w:r>
              <w:t xml:space="preserve">quantity</w:t>
            </w:r>
          </w:p>
        </w:tc>
        <w:tc>
          <w:tcPr/>
          <w:p>
            <w:pPr>
              <w:pStyle w:val="Compact"/>
              <w:jc w:val="left"/>
            </w:pPr>
            <w:r>
              <w:t xml:space="preserve">quantity</w:t>
            </w:r>
          </w:p>
        </w:tc>
      </w:tr>
      <w:tr>
        <w:tc>
          <w:tcPr/>
          <w:p>
            <w:pPr>
              <w:pStyle w:val="Compact"/>
              <w:jc w:val="left"/>
            </w:pPr>
            <w:r>
              <w:t xml:space="preserve">growth_rate_forest_stock</w:t>
            </w:r>
          </w:p>
        </w:tc>
        <w:tc>
          <w:tcPr/>
          <w:p>
            <w:pPr>
              <w:pStyle w:val="Compact"/>
              <w:jc w:val="left"/>
            </w:pPr>
            <w:r>
              <w:t xml:space="preserve">elasticity_price</w:t>
            </w:r>
          </w:p>
        </w:tc>
        <w:tc>
          <w:tcPr/>
          <w:p>
            <w:pPr>
              <w:pStyle w:val="Compact"/>
              <w:jc w:val="left"/>
            </w:pPr>
            <w:r>
              <w:t xml:space="preserve">export_ad_valorem_tax_rate</w:t>
            </w:r>
          </w:p>
        </w:tc>
        <w:tc>
          <w:tcPr/>
          <w:p>
            <w:pPr>
              <w:pStyle w:val="Compact"/>
              <w:jc w:val="left"/>
            </w:pPr>
            <w:r>
              <w:t xml:space="preserve">elasticity_price</w:t>
            </w:r>
          </w:p>
        </w:tc>
        <w:tc>
          <w:tcPr/>
          <w:p>
            <w:pPr>
              <w:pStyle w:val="Compact"/>
              <w:jc w:val="left"/>
            </w:pPr>
            <w:r>
              <w:t xml:space="preserve">elasticity_price</w:t>
            </w:r>
          </w:p>
        </w:tc>
      </w:tr>
      <w:tr>
        <w:tc>
          <w:tcPr/>
          <w:p>
            <w:pPr>
              <w:pStyle w:val="Compact"/>
              <w:jc w:val="left"/>
            </w:pPr>
            <w:r>
              <w:t xml:space="preserve">elasticity_growth_rate_forest_stock</w:t>
            </w:r>
          </w:p>
        </w:tc>
        <w:tc>
          <w:tcPr/>
          <w:p>
            <w:pPr>
              <w:pStyle w:val="Compact"/>
              <w:jc w:val="left"/>
            </w:pPr>
            <w:r>
              <w:t xml:space="preserve">elasticity_gdp</w:t>
            </w:r>
          </w:p>
        </w:tc>
        <w:tc>
          <w:tcPr/>
          <w:p>
            <w:pPr>
              <w:pStyle w:val="Compact"/>
              <w:jc w:val="left"/>
            </w:pPr>
            <w:r>
              <w:t xml:space="preserve">quantity</w:t>
            </w:r>
          </w:p>
        </w:tc>
        <w:tc>
          <w:tcPr/>
          <w:p>
            <w:pPr>
              <w:pStyle w:val="Compact"/>
              <w:jc w:val="left"/>
            </w:pPr>
            <w:r>
              <w:t xml:space="preserve">elasticity_gdp</w:t>
            </w:r>
          </w:p>
        </w:tc>
        <w:tc>
          <w:tcPr/>
          <w:p>
            <w:pPr>
              <w:pStyle w:val="Compact"/>
            </w:pPr>
          </w:p>
        </w:tc>
      </w:tr>
      <w:tr>
        <w:tc>
          <w:tcPr/>
          <w:p>
            <w:pPr>
              <w:pStyle w:val="Compact"/>
              <w:jc w:val="left"/>
            </w:pPr>
            <w:r>
              <w:t xml:space="preserve">forest_area</w:t>
            </w:r>
          </w:p>
        </w:tc>
        <w:tc>
          <w:tcPr/>
          <w:p>
            <w:pPr>
              <w:pStyle w:val="Compact"/>
              <w:jc w:val="left"/>
            </w:pPr>
            <w:r>
              <w:t xml:space="preserve">elasticity_stock</w:t>
            </w:r>
          </w:p>
        </w:tc>
        <w:tc>
          <w:tcPr/>
          <w:p>
            <w:pPr>
              <w:pStyle w:val="Compact"/>
              <w:jc w:val="left"/>
            </w:pPr>
            <w:r>
              <w:t xml:space="preserve">elasticity_trade_exporter</w:t>
            </w:r>
          </w:p>
        </w:tc>
        <w:tc>
          <w:tcPr/>
          <w:p>
            <w:pPr>
              <w:pStyle w:val="Compact"/>
              <w:jc w:val="left"/>
            </w:pPr>
            <w:r>
              <w:t xml:space="preserve">elasticity_expectations</w:t>
            </w:r>
          </w:p>
        </w:tc>
        <w:tc>
          <w:tcPr/>
          <w:p>
            <w:pPr>
              <w:pStyle w:val="Compact"/>
            </w:pPr>
          </w:p>
        </w:tc>
      </w:tr>
      <w:tr>
        <w:tc>
          <w:tcPr/>
          <w:p>
            <w:pPr>
              <w:pStyle w:val="Compact"/>
              <w:jc w:val="left"/>
            </w:pPr>
            <w:r>
              <w:t xml:space="preserve">forest_area_growth_rate</w:t>
            </w:r>
          </w:p>
        </w:tc>
        <w:tc>
          <w:tcPr/>
          <w:p>
            <w:pPr>
              <w:pStyle w:val="Compact"/>
              <w:jc w:val="left"/>
            </w:pPr>
            <w:r>
              <w:t xml:space="preserve">elasticity_area</w:t>
            </w:r>
          </w:p>
        </w:tc>
        <w:tc>
          <w:tcPr/>
          <w:p>
            <w:pPr>
              <w:pStyle w:val="Compact"/>
              <w:jc w:val="left"/>
            </w:pPr>
            <w:r>
              <w:t xml:space="preserve">elasticity_trade_importer</w:t>
            </w:r>
          </w:p>
        </w:tc>
        <w:tc>
          <w:tcPr/>
          <w:p>
            <w:pPr>
              <w:pStyle w:val="Compact"/>
              <w:jc w:val="left"/>
            </w:pPr>
            <w:r>
              <w:t xml:space="preserve">lower_bound</w:t>
            </w:r>
          </w:p>
        </w:tc>
        <w:tc>
          <w:tcPr/>
          <w:p>
            <w:pPr>
              <w:pStyle w:val="Compact"/>
            </w:pPr>
          </w:p>
        </w:tc>
      </w:tr>
      <w:tr>
        <w:tc>
          <w:tcPr/>
          <w:p>
            <w:pPr>
              <w:pStyle w:val="Compact"/>
              <w:jc w:val="left"/>
            </w:pPr>
            <w:r>
              <w:t xml:space="preserve">linear_gdp_forest_area_growth_rate</w:t>
            </w:r>
          </w:p>
        </w:tc>
        <w:tc>
          <w:tcPr/>
          <w:p>
            <w:pPr>
              <w:pStyle w:val="Compact"/>
              <w:jc w:val="left"/>
            </w:pPr>
            <w:r>
              <w:t xml:space="preserve">elasticity_fourth</w:t>
            </w:r>
          </w:p>
        </w:tc>
        <w:tc>
          <w:tcPr/>
          <w:p>
            <w:pPr>
              <w:pStyle w:val="Compact"/>
              <w:jc w:val="left"/>
            </w:pPr>
            <w:r>
              <w:t xml:space="preserve">trade_inertia_bounds</w:t>
            </w:r>
          </w:p>
        </w:tc>
        <w:tc>
          <w:tcPr/>
          <w:p>
            <w:pPr>
              <w:pStyle w:val="Compact"/>
              <w:jc w:val="left"/>
            </w:pPr>
            <w:r>
              <w:t xml:space="preserve">upper_bound</w:t>
            </w:r>
          </w:p>
        </w:tc>
        <w:tc>
          <w:tcPr/>
          <w:p>
            <w:pPr>
              <w:pStyle w:val="Compact"/>
            </w:pPr>
          </w:p>
        </w:tc>
      </w:tr>
      <w:tr>
        <w:tc>
          <w:tcPr/>
          <w:p>
            <w:pPr>
              <w:pStyle w:val="Compact"/>
              <w:jc w:val="left"/>
            </w:pPr>
            <w:r>
              <w:t xml:space="preserve">exponential_gdp_forest_area_growth_rate</w:t>
            </w:r>
          </w:p>
        </w:tc>
        <w:tc>
          <w:tcPr/>
          <w:p>
            <w:pPr>
              <w:pStyle w:val="Compact"/>
              <w:jc w:val="left"/>
            </w:pPr>
            <w:r>
              <w:t xml:space="preserve">elasticity_fifth</w:t>
            </w:r>
          </w:p>
        </w:tc>
        <w:tc>
          <w:tcPr/>
          <w:p>
            <w:pPr>
              <w:pStyle w:val="Compact"/>
              <w:jc w:val="left"/>
            </w:pPr>
            <w:r>
              <w:t xml:space="preserve">price</w:t>
            </w:r>
          </w:p>
        </w:tc>
        <w:tc>
          <w:tcPr/>
          <w:p>
            <w:pPr>
              <w:pStyle w:val="Compact"/>
            </w:pPr>
          </w:p>
        </w:tc>
        <w:tc>
          <w:tcPr/>
          <w:p>
            <w:pPr>
              <w:pStyle w:val="Compact"/>
            </w:pPr>
          </w:p>
        </w:tc>
      </w:tr>
      <w:tr>
        <w:tc>
          <w:tcPr/>
          <w:p>
            <w:pPr>
              <w:pStyle w:val="Compact"/>
              <w:jc w:val="left"/>
            </w:pPr>
            <w:r>
              <w:t xml:space="preserve">fraction_fuelwood</w:t>
            </w:r>
          </w:p>
        </w:tc>
        <w:tc>
          <w:tcPr/>
          <w:p>
            <w:pPr>
              <w:pStyle w:val="Compact"/>
              <w:jc w:val="left"/>
            </w:pPr>
            <w:r>
              <w:t xml:space="preserve">elasticity_sixth</w:t>
            </w:r>
          </w:p>
        </w:tc>
        <w:tc>
          <w:tcPr/>
          <w:p>
            <w:pPr>
              <w:pStyle w:val="Compact"/>
              <w:jc w:val="left"/>
            </w:pPr>
            <w:r>
              <w:t xml:space="preserve">elasticity_price</w:t>
            </w:r>
          </w:p>
        </w:tc>
        <w:tc>
          <w:tcPr/>
          <w:p>
            <w:pPr>
              <w:pStyle w:val="Compact"/>
            </w:pPr>
          </w:p>
        </w:tc>
        <w:tc>
          <w:tcPr/>
          <w:p>
            <w:pPr>
              <w:pStyle w:val="Compact"/>
            </w:pPr>
          </w:p>
        </w:tc>
      </w:tr>
      <w:tr>
        <w:tc>
          <w:tcPr/>
          <w:p>
            <w:pPr>
              <w:pStyle w:val="Compact"/>
              <w:jc w:val="left"/>
            </w:pPr>
            <w:r>
              <w:t xml:space="preserve">ratio_inventory_drain</w:t>
            </w:r>
          </w:p>
        </w:tc>
        <w:tc>
          <w:tcPr/>
          <w:p>
            <w:pPr>
              <w:pStyle w:val="Compact"/>
              <w:jc w:val="left"/>
            </w:pPr>
            <w:r>
              <w:t xml:space="preserve">elasticity_respect_previous_p</w:t>
            </w:r>
          </w:p>
        </w:tc>
        <w:tc>
          <w:tcPr/>
          <w:p>
            <w:pPr>
              <w:pStyle w:val="Compact"/>
            </w:pPr>
          </w:p>
        </w:tc>
        <w:tc>
          <w:tcPr/>
          <w:p>
            <w:pPr>
              <w:pStyle w:val="Compact"/>
            </w:pPr>
          </w:p>
        </w:tc>
        <w:tc>
          <w:tcPr/>
          <w:p>
            <w:pPr>
              <w:pStyle w:val="Compact"/>
            </w:pPr>
          </w:p>
        </w:tc>
      </w:tr>
      <w:tr>
        <w:tc>
          <w:tcPr/>
          <w:p>
            <w:pPr>
              <w:pStyle w:val="Compact"/>
              <w:jc w:val="left"/>
            </w:pPr>
            <w:r>
              <w:t xml:space="preserve">max_ratio_inventory_drain</w:t>
            </w:r>
          </w:p>
        </w:tc>
        <w:tc>
          <w:tcPr/>
          <w:p>
            <w:pPr>
              <w:pStyle w:val="Compact"/>
              <w:jc w:val="left"/>
            </w:pPr>
            <w:r>
              <w:t xml:space="preserve">lower_bound</w:t>
            </w:r>
          </w:p>
        </w:tc>
        <w:tc>
          <w:tcPr/>
          <w:p>
            <w:pPr>
              <w:pStyle w:val="Compact"/>
            </w:pPr>
          </w:p>
        </w:tc>
        <w:tc>
          <w:tcPr/>
          <w:p>
            <w:pPr>
              <w:pStyle w:val="Compact"/>
            </w:pPr>
          </w:p>
        </w:tc>
        <w:tc>
          <w:tcPr/>
          <w:p>
            <w:pPr>
              <w:pStyle w:val="Compact"/>
            </w:pPr>
          </w:p>
        </w:tc>
      </w:tr>
      <w:tr>
        <w:tc>
          <w:tcPr/>
          <w:p>
            <w:pPr>
              <w:pStyle w:val="Compact"/>
              <w:jc w:val="left"/>
            </w:pPr>
            <w:r>
              <w:t xml:space="preserve">CO2_growing_stock</w:t>
            </w:r>
          </w:p>
        </w:tc>
        <w:tc>
          <w:tcPr/>
          <w:p>
            <w:pPr>
              <w:pStyle w:val="Compact"/>
              <w:jc w:val="left"/>
            </w:pPr>
            <w:r>
              <w:t xml:space="preserve">upper_bound</w:t>
            </w:r>
          </w:p>
        </w:tc>
        <w:tc>
          <w:tcPr/>
          <w:p>
            <w:pPr>
              <w:pStyle w:val="Compact"/>
            </w:pPr>
          </w:p>
        </w:tc>
        <w:tc>
          <w:tcPr/>
          <w:p>
            <w:pPr>
              <w:pStyle w:val="Compact"/>
            </w:pPr>
          </w:p>
        </w:tc>
        <w:tc>
          <w:tcPr/>
          <w:p>
            <w:pPr>
              <w:pStyle w:val="Compact"/>
            </w:pPr>
          </w:p>
        </w:tc>
      </w:tr>
      <w:tr>
        <w:tc>
          <w:tcPr/>
          <w:p>
            <w:pPr>
              <w:pStyle w:val="Compact"/>
              <w:jc w:val="left"/>
            </w:pPr>
            <w:r>
              <w:t xml:space="preserve">price_CO2</w:t>
            </w:r>
          </w:p>
        </w:tc>
        <w:tc>
          <w:tcPr/>
          <w:p>
            <w:pPr>
              <w:pStyle w:val="Compact"/>
              <w:jc w:val="left"/>
            </w:pPr>
            <w:r>
              <w:t xml:space="preserve">last_period_quantity</w:t>
            </w:r>
          </w:p>
        </w:tc>
        <w:tc>
          <w:tcPr/>
          <w:p>
            <w:pPr>
              <w:pStyle w:val="Compact"/>
            </w:pPr>
          </w:p>
        </w:tc>
        <w:tc>
          <w:tcPr/>
          <w:p>
            <w:pPr>
              <w:pStyle w:val="Compact"/>
            </w:pPr>
          </w:p>
        </w:tc>
        <w:tc>
          <w:tcPr/>
          <w:p>
            <w:pPr>
              <w:pStyle w:val="Compact"/>
            </w:pPr>
          </w:p>
        </w:tc>
      </w:tr>
      <w:tr>
        <w:tc>
          <w:tcPr/>
          <w:p>
            <w:pPr>
              <w:pStyle w:val="Compact"/>
              <w:jc w:val="left"/>
            </w:pPr>
            <w:r>
              <w:t xml:space="preserve">alpha</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gamma</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periodic_growth_rate_of_forest_area</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forest_growth_without_harvest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supply_from_forest</w:t>
            </w:r>
          </w:p>
        </w:tc>
        <w:tc>
          <w:tcPr/>
          <w:p>
            <w:pPr>
              <w:pStyle w:val="Compact"/>
            </w:pPr>
          </w:p>
        </w:tc>
        <w:tc>
          <w:tcPr/>
          <w:p>
            <w:pPr>
              <w:pStyle w:val="Compact"/>
            </w:pPr>
          </w:p>
        </w:tc>
        <w:tc>
          <w:tcPr/>
          <w:p>
            <w:pPr>
              <w:pStyle w:val="Compact"/>
            </w:pPr>
          </w:p>
        </w:tc>
        <w:tc>
          <w:tcPr/>
          <w:p>
            <w:pPr>
              <w:pStyle w:val="Compact"/>
            </w:pPr>
          </w:p>
        </w:tc>
      </w:tr>
    </w:tbl>
    <w:p>
      <w:pPr>
        <w:pStyle w:val="BodyText"/>
      </w:pPr>
    </w:p>
    <w:p>
      <w:pPr>
        <w:pStyle w:val="BodyText"/>
      </w:pPr>
      <w:r>
        <w:rPr>
          <w:b/>
          <w:bCs/>
        </w:rPr>
        <w:t xml:space="preserve">Table A5:</w:t>
      </w:r>
      <w:r>
        <w:t xml:space="preserve"> </w:t>
      </w:r>
      <w:r>
        <w:t xml:space="preserve">List of input parameters exogenously shifted over the simulation horizon to reflect socio-economic, political, and environmental dynamics</w:t>
      </w:r>
    </w:p>
    <w:tbl>
      <w:tblPr>
        <w:tblStyle w:val="Table"/>
        <w:tblW w:type="pct" w:w="5000"/>
        <w:tblLayout w:type="fixed"/>
        <w:tblLook w:firstRow="1" w:lastRow="0" w:firstColumn="0" w:lastColumn="0" w:noHBand="0" w:noVBand="0" w:val="0020"/>
      </w:tblPr>
      <w:tblGrid>
        <w:gridCol w:w="2217"/>
        <w:gridCol w:w="1176"/>
        <w:gridCol w:w="1900"/>
        <w:gridCol w:w="1086"/>
        <w:gridCol w:w="1538"/>
      </w:tblGrid>
      <w:tr>
        <w:trPr>
          <w:tblHeader w:val="on"/>
        </w:trPr>
        <w:tc>
          <w:tcPr/>
          <w:p>
            <w:pPr>
              <w:pStyle w:val="Compact"/>
              <w:jc w:val="left"/>
            </w:pPr>
            <w:r>
              <w:t xml:space="preserve">Forest</w:t>
            </w:r>
          </w:p>
        </w:tc>
        <w:tc>
          <w:tcPr/>
          <w:p>
            <w:pPr>
              <w:pStyle w:val="Compact"/>
              <w:jc w:val="left"/>
            </w:pPr>
            <w:r>
              <w:t xml:space="preserve">Supply</w:t>
            </w:r>
          </w:p>
        </w:tc>
        <w:tc>
          <w:tcPr/>
          <w:p>
            <w:pPr>
              <w:pStyle w:val="Compact"/>
              <w:jc w:val="left"/>
            </w:pPr>
            <w:r>
              <w:t xml:space="preserve">Transportation</w:t>
            </w:r>
          </w:p>
        </w:tc>
        <w:tc>
          <w:tcPr/>
          <w:p>
            <w:pPr>
              <w:pStyle w:val="Compact"/>
              <w:jc w:val="left"/>
            </w:pPr>
            <w:r>
              <w:t xml:space="preserve">Demand</w:t>
            </w:r>
          </w:p>
        </w:tc>
        <w:tc>
          <w:tcPr/>
          <w:p>
            <w:pPr>
              <w:pStyle w:val="Compact"/>
              <w:jc w:val="left"/>
            </w:pPr>
            <w:r>
              <w:t xml:space="preserve">Manufacturing</w:t>
            </w:r>
          </w:p>
        </w:tc>
      </w:tr>
      <w:tr>
        <w:tc>
          <w:tcPr/>
          <w:p>
            <w:pPr>
              <w:pStyle w:val="Compact"/>
              <w:jc w:val="left"/>
            </w:pPr>
            <w:r>
              <w:t xml:space="preserve">growth_rate_stock</w:t>
            </w:r>
          </w:p>
        </w:tc>
        <w:tc>
          <w:tcPr/>
          <w:p>
            <w:pPr>
              <w:pStyle w:val="Compact"/>
              <w:jc w:val="left"/>
            </w:pPr>
            <w:r>
              <w:t xml:space="preserve">elasticity_price</w:t>
            </w:r>
          </w:p>
        </w:tc>
        <w:tc>
          <w:tcPr/>
          <w:p>
            <w:pPr>
              <w:pStyle w:val="Compact"/>
              <w:jc w:val="left"/>
            </w:pPr>
            <w:r>
              <w:t xml:space="preserve">change_freight_cost</w:t>
            </w:r>
          </w:p>
        </w:tc>
        <w:tc>
          <w:tcPr/>
          <w:p>
            <w:pPr>
              <w:pStyle w:val="Compact"/>
              <w:jc w:val="left"/>
            </w:pPr>
            <w:r>
              <w:t xml:space="preserve">elasticity_price</w:t>
            </w:r>
          </w:p>
        </w:tc>
        <w:tc>
          <w:tcPr/>
          <w:p>
            <w:pPr>
              <w:pStyle w:val="Compact"/>
              <w:jc w:val="left"/>
            </w:pPr>
            <w:r>
              <w:t xml:space="preserve">growth_rate_net_manufacture_cost</w:t>
            </w:r>
          </w:p>
        </w:tc>
      </w:tr>
      <w:tr>
        <w:tc>
          <w:tcPr/>
          <w:p>
            <w:pPr>
              <w:pStyle w:val="Compact"/>
              <w:jc w:val="left"/>
            </w:pPr>
            <w:r>
              <w:t xml:space="preserve">growth_rate_area</w:t>
            </w:r>
          </w:p>
        </w:tc>
        <w:tc>
          <w:tcPr/>
          <w:p>
            <w:pPr>
              <w:pStyle w:val="Compact"/>
              <w:jc w:val="left"/>
            </w:pPr>
            <w:r>
              <w:t xml:space="preserve">growth_rate_value</w:t>
            </w:r>
          </w:p>
        </w:tc>
        <w:tc>
          <w:tcPr/>
          <w:p>
            <w:pPr>
              <w:pStyle w:val="Compact"/>
              <w:jc w:val="left"/>
            </w:pPr>
            <w:r>
              <w:t xml:space="preserve">change_import_tax_rate</w:t>
            </w:r>
          </w:p>
        </w:tc>
        <w:tc>
          <w:tcPr/>
          <w:p>
            <w:pPr>
              <w:pStyle w:val="Compact"/>
              <w:jc w:val="left"/>
            </w:pPr>
            <w:r>
              <w:t xml:space="preserve">growth_rate_value</w:t>
            </w:r>
          </w:p>
        </w:tc>
        <w:tc>
          <w:tcPr/>
          <w:p>
            <w:pPr>
              <w:pStyle w:val="Compact"/>
              <w:jc w:val="left"/>
            </w:pPr>
            <w:r>
              <w:t xml:space="preserve">change_input_output</w:t>
            </w:r>
          </w:p>
        </w:tc>
      </w:tr>
      <w:tr>
        <w:tc>
          <w:tcPr/>
          <w:p>
            <w:pPr>
              <w:pStyle w:val="Compact"/>
              <w:jc w:val="left"/>
            </w:pPr>
            <w:r>
              <w:t xml:space="preserve">growth_rate_gdp</w:t>
            </w:r>
          </w:p>
        </w:tc>
        <w:tc>
          <w:tcPr/>
          <w:p>
            <w:pPr>
              <w:pStyle w:val="Compact"/>
              <w:jc w:val="left"/>
            </w:pPr>
            <w:r>
              <w:t xml:space="preserve">growth_rate_gdp</w:t>
            </w:r>
          </w:p>
        </w:tc>
        <w:tc>
          <w:tcPr/>
          <w:p>
            <w:pPr>
              <w:pStyle w:val="Compact"/>
              <w:jc w:val="left"/>
            </w:pPr>
            <w:r>
              <w:t xml:space="preserve">change_export_tax_rate</w:t>
            </w:r>
          </w:p>
        </w:tc>
        <w:tc>
          <w:tcPr/>
          <w:p>
            <w:pPr>
              <w:pStyle w:val="Compact"/>
              <w:jc w:val="left"/>
            </w:pPr>
            <w:r>
              <w:t xml:space="preserve">growth_rate_gdp</w:t>
            </w:r>
          </w:p>
        </w:tc>
        <w:tc>
          <w:tcPr/>
          <w:p>
            <w:pPr>
              <w:pStyle w:val="Compact"/>
            </w:pPr>
          </w:p>
        </w:tc>
      </w:tr>
      <w:tr>
        <w:tc>
          <w:tcPr/>
          <w:p>
            <w:pPr>
              <w:pStyle w:val="Compact"/>
              <w:jc w:val="left"/>
            </w:pPr>
            <w:r>
              <w:t xml:space="preserve">adjustment_endogenous_growth_rate_stock</w:t>
            </w:r>
          </w:p>
        </w:tc>
        <w:tc>
          <w:tcPr/>
          <w:p>
            <w:pPr>
              <w:pStyle w:val="Compact"/>
              <w:jc w:val="left"/>
            </w:pPr>
            <w:r>
              <w:t xml:space="preserve">elasticity_gdp</w:t>
            </w:r>
          </w:p>
        </w:tc>
        <w:tc>
          <w:tcPr/>
          <w:p>
            <w:pPr>
              <w:pStyle w:val="Compact"/>
              <w:jc w:val="left"/>
            </w:pPr>
            <w:r>
              <w:t xml:space="preserve">exogenous_growth_rate_export_trade_shift</w:t>
            </w:r>
          </w:p>
        </w:tc>
        <w:tc>
          <w:tcPr/>
          <w:p>
            <w:pPr>
              <w:pStyle w:val="Compact"/>
              <w:jc w:val="left"/>
            </w:pPr>
            <w:r>
              <w:t xml:space="preserve">growth_demand_expected</w:t>
            </w:r>
          </w:p>
        </w:tc>
        <w:tc>
          <w:tcPr/>
          <w:p>
            <w:pPr>
              <w:pStyle w:val="Compact"/>
            </w:pPr>
          </w:p>
        </w:tc>
      </w:tr>
      <w:tr>
        <w:tc>
          <w:tcPr/>
          <w:p>
            <w:pPr>
              <w:pStyle w:val="Compact"/>
              <w:jc w:val="left"/>
            </w:pPr>
            <w:r>
              <w:t xml:space="preserve">elasticity_growth_rate_stock_on_area</w:t>
            </w:r>
          </w:p>
        </w:tc>
        <w:tc>
          <w:tcPr/>
          <w:p>
            <w:pPr>
              <w:pStyle w:val="Compact"/>
              <w:jc w:val="left"/>
            </w:pPr>
            <w:r>
              <w:t xml:space="preserve">growth_rate_fourth_shift</w:t>
            </w:r>
          </w:p>
        </w:tc>
        <w:tc>
          <w:tcPr/>
          <w:p>
            <w:pPr>
              <w:pStyle w:val="Compact"/>
              <w:jc w:val="left"/>
            </w:pPr>
            <w:r>
              <w:t xml:space="preserve">elasticity_trade_exporter_shift</w:t>
            </w:r>
          </w:p>
        </w:tc>
        <w:tc>
          <w:tcPr/>
          <w:p>
            <w:pPr>
              <w:pStyle w:val="Compact"/>
              <w:jc w:val="left"/>
            </w:pPr>
            <w:r>
              <w:t xml:space="preserve">growth_lower_bound</w:t>
            </w:r>
          </w:p>
        </w:tc>
        <w:tc>
          <w:tcPr/>
          <w:p>
            <w:pPr>
              <w:pStyle w:val="Compact"/>
            </w:pPr>
          </w:p>
        </w:tc>
      </w:tr>
      <w:tr>
        <w:tc>
          <w:tcPr/>
          <w:p>
            <w:pPr>
              <w:pStyle w:val="Compact"/>
              <w:jc w:val="left"/>
            </w:pPr>
            <w:r>
              <w:t xml:space="preserve">growth_rate_linear_GDP_forest_area_growth_rate</w:t>
            </w:r>
          </w:p>
        </w:tc>
        <w:tc>
          <w:tcPr/>
          <w:p>
            <w:pPr>
              <w:pStyle w:val="Compact"/>
              <w:jc w:val="left"/>
            </w:pPr>
            <w:r>
              <w:t xml:space="preserve">growth_rate_fifth_shift</w:t>
            </w:r>
          </w:p>
        </w:tc>
        <w:tc>
          <w:tcPr/>
          <w:p>
            <w:pPr>
              <w:pStyle w:val="Compact"/>
              <w:jc w:val="left"/>
            </w:pPr>
            <w:r>
              <w:t xml:space="preserve">exogenous_growth_rate_import_trade_shift</w:t>
            </w:r>
          </w:p>
        </w:tc>
        <w:tc>
          <w:tcPr/>
          <w:p>
            <w:pPr>
              <w:pStyle w:val="Compact"/>
              <w:jc w:val="left"/>
            </w:pPr>
            <w:r>
              <w:t xml:space="preserve">elasticity_gdp</w:t>
            </w:r>
          </w:p>
        </w:tc>
        <w:tc>
          <w:tcPr/>
          <w:p>
            <w:pPr>
              <w:pStyle w:val="Compact"/>
            </w:pPr>
          </w:p>
        </w:tc>
      </w:tr>
      <w:tr>
        <w:tc>
          <w:tcPr/>
          <w:p>
            <w:pPr>
              <w:pStyle w:val="Compact"/>
              <w:jc w:val="left"/>
            </w:pPr>
            <w:r>
              <w:t xml:space="preserve">growth_rate_squared_GDP_forest_area_growth_rate</w:t>
            </w:r>
          </w:p>
        </w:tc>
        <w:tc>
          <w:tcPr/>
          <w:p>
            <w:pPr>
              <w:pStyle w:val="Compact"/>
              <w:jc w:val="left"/>
            </w:pPr>
            <w:r>
              <w:t xml:space="preserve">growth_rate_sixth_shift</w:t>
            </w:r>
          </w:p>
        </w:tc>
        <w:tc>
          <w:tcPr/>
          <w:p>
            <w:pPr>
              <w:pStyle w:val="Compact"/>
              <w:jc w:val="left"/>
            </w:pPr>
            <w:r>
              <w:t xml:space="preserve">elasticity_trade_importer_shift</w:t>
            </w:r>
          </w:p>
        </w:tc>
        <w:tc>
          <w:tcPr/>
          <w:p>
            <w:pPr>
              <w:pStyle w:val="Compact"/>
            </w:pPr>
          </w:p>
        </w:tc>
        <w:tc>
          <w:tcPr/>
          <w:p>
            <w:pPr>
              <w:pStyle w:val="Compact"/>
            </w:pPr>
          </w:p>
        </w:tc>
      </w:tr>
      <w:tr>
        <w:tc>
          <w:tcPr/>
          <w:p>
            <w:pPr>
              <w:pStyle w:val="Compact"/>
              <w:jc w:val="left"/>
            </w:pPr>
            <w:r>
              <w:t xml:space="preserve">fraction_fuelwood</w:t>
            </w:r>
          </w:p>
        </w:tc>
        <w:tc>
          <w:tcPr/>
          <w:p>
            <w:pPr>
              <w:pStyle w:val="Compact"/>
              <w:jc w:val="left"/>
            </w:pPr>
            <w:r>
              <w:t xml:space="preserve">growth_rate_upper_bound</w:t>
            </w:r>
          </w:p>
        </w:tc>
        <w:tc>
          <w:tcPr/>
          <w:p>
            <w:pPr>
              <w:pStyle w:val="Compact"/>
              <w:jc w:val="left"/>
            </w:pPr>
            <w:r>
              <w:t xml:space="preserve">trade_inertia_bounds</w:t>
            </w:r>
          </w:p>
        </w:tc>
        <w:tc>
          <w:tcPr/>
          <w:p>
            <w:pPr>
              <w:pStyle w:val="Compact"/>
            </w:pPr>
          </w:p>
        </w:tc>
        <w:tc>
          <w:tcPr/>
          <w:p>
            <w:pPr>
              <w:pStyle w:val="Compact"/>
            </w:pPr>
          </w:p>
        </w:tc>
      </w:tr>
      <w:tr>
        <w:tc>
          <w:tcPr/>
          <w:p>
            <w:pPr>
              <w:pStyle w:val="Compact"/>
              <w:jc w:val="left"/>
            </w:pPr>
            <w:r>
              <w:t xml:space="preserve">ratio_inventory_drain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max_ratio_inventory_drain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price_CO2</w:t>
            </w:r>
          </w:p>
        </w:tc>
        <w:tc>
          <w:tcPr/>
          <w:p>
            <w:pPr>
              <w:pStyle w:val="Compact"/>
            </w:pPr>
          </w:p>
        </w:tc>
        <w:tc>
          <w:tcPr/>
          <w:p>
            <w:pPr>
              <w:pStyle w:val="Compact"/>
            </w:pPr>
          </w:p>
        </w:tc>
        <w:tc>
          <w:tcPr/>
          <w:p>
            <w:pPr>
              <w:pStyle w:val="Compact"/>
            </w:pPr>
          </w:p>
        </w:tc>
        <w:tc>
          <w:tcPr/>
          <w:p>
            <w:pPr>
              <w:pStyle w:val="Compact"/>
            </w:pPr>
          </w:p>
        </w:tc>
      </w:tr>
    </w:tbl>
    <w:bookmarkStart w:id="58" w:name="refs"/>
    <w:bookmarkStart w:id="50" w:name="ref-Buongiorno:2015"/>
    <w:p>
      <w:pPr>
        <w:pStyle w:val="Bibliography"/>
      </w:pPr>
      <w:r>
        <w:t xml:space="preserve">Buongiorno, Joseph. 2015.</w:t>
      </w:r>
      <w:r>
        <w:t xml:space="preserve"> </w:t>
      </w:r>
      <w:r>
        <w:t xml:space="preserve">“Global Modelling to Predict Timber Production and Prices: The GFPM Approach.”</w:t>
      </w:r>
      <w:r>
        <w:t xml:space="preserve"> </w:t>
      </w:r>
      <w:r>
        <w:rPr>
          <w:i/>
          <w:iCs/>
        </w:rPr>
        <w:t xml:space="preserve">Forestry</w:t>
      </w:r>
      <w:r>
        <w:t xml:space="preserve"> </w:t>
      </w:r>
      <w:r>
        <w:t xml:space="preserve">88 (3): 291–303.</w:t>
      </w:r>
      <w:r>
        <w:t xml:space="preserve"> </w:t>
      </w:r>
      <w:hyperlink r:id="rId49">
        <w:r>
          <w:rPr>
            <w:rStyle w:val="Hyperlink"/>
          </w:rPr>
          <w:t xml:space="preserve">https://doi.org/10.1093/forestry/cpu047</w:t>
        </w:r>
      </w:hyperlink>
      <w:r>
        <w:t xml:space="preserve">.</w:t>
      </w:r>
    </w:p>
    <w:bookmarkEnd w:id="50"/>
    <w:bookmarkStart w:id="51" w:name="ref-Buongiorno:2003"/>
    <w:p>
      <w:pPr>
        <w:pStyle w:val="Bibliography"/>
      </w:pPr>
      <w:r>
        <w:t xml:space="preserve">Buongiorno, Joseph, Shushuai Zhu, Dali Zhang, James Turner, and David Tomberlin. 2003.</w:t>
      </w:r>
      <w:r>
        <w:t xml:space="preserve"> </w:t>
      </w:r>
      <w:r>
        <w:rPr>
          <w:i/>
          <w:iCs/>
        </w:rPr>
        <w:t xml:space="preserve">The Global Forest Products Model: Structure, Estimation, and Applications</w:t>
      </w:r>
      <w:r>
        <w:t xml:space="preserve">. Amsterdam; Boston; London:</w:t>
      </w:r>
      <w:r>
        <w:t xml:space="preserve"> </w:t>
      </w:r>
      <w:r>
        <w:t xml:space="preserve">Academic Press</w:t>
      </w:r>
      <w:r>
        <w:t xml:space="preserve">.</w:t>
      </w:r>
    </w:p>
    <w:bookmarkEnd w:id="51"/>
    <w:bookmarkStart w:id="53" w:name="ref-Panayotou:1993"/>
    <w:p>
      <w:pPr>
        <w:pStyle w:val="Bibliography"/>
      </w:pPr>
      <w:r>
        <w:t xml:space="preserve">Panayotou, Theodore. 1993.</w:t>
      </w:r>
      <w:r>
        <w:t xml:space="preserve"> </w:t>
      </w:r>
      <w:r>
        <w:rPr>
          <w:i/>
          <w:iCs/>
        </w:rPr>
        <w:t xml:space="preserve">Empirical Tests and Policy Analysis of Environmental Degradation at Different Stages of Economic Development</w:t>
      </w:r>
      <w:r>
        <w:t xml:space="preserve">.</w:t>
      </w:r>
      <w:r>
        <w:t xml:space="preserve"> </w:t>
      </w:r>
      <w:hyperlink r:id="rId52">
        <w:r>
          <w:rPr>
            <w:rStyle w:val="Hyperlink"/>
          </w:rPr>
          <w:t xml:space="preserve">https://scholar.google.com/citations?user=brsoyeyaaaaj&amp;hl=de&amp;oi=sra</w:t>
        </w:r>
      </w:hyperlink>
      <w:r>
        <w:t xml:space="preserve">.</w:t>
      </w:r>
    </w:p>
    <w:bookmarkEnd w:id="53"/>
    <w:bookmarkStart w:id="55" w:name="ref-Riahi:2017"/>
    <w:p>
      <w:pPr>
        <w:pStyle w:val="Bibliography"/>
      </w:pPr>
      <w:r>
        <w:t xml:space="preserve">Riahi, Keywan, Detlef P. van Vuuren, Elmar Kriegler, Jae Edmonds, Brian C. O’Neill, Shinichiro Fujimori, Nico Bauer, et al. 2017.</w:t>
      </w:r>
      <w:r>
        <w:t xml:space="preserve"> </w:t>
      </w:r>
      <w:r>
        <w:t xml:space="preserve">“The Shared Socioeconomic Pathways and Their Energy, Land Use, and Greenhouse Gas Emissions Implications: An Overview.”</w:t>
      </w:r>
      <w:r>
        <w:t xml:space="preserve"> </w:t>
      </w:r>
      <w:r>
        <w:rPr>
          <w:i/>
          <w:iCs/>
        </w:rPr>
        <w:t xml:space="preserve">Global Environmental Change</w:t>
      </w:r>
      <w:r>
        <w:t xml:space="preserve"> </w:t>
      </w:r>
      <w:r>
        <w:t xml:space="preserve">42: 153–68. https://doi.org/</w:t>
      </w:r>
      <w:hyperlink r:id="rId54">
        <w:r>
          <w:rPr>
            <w:rStyle w:val="Hyperlink"/>
          </w:rPr>
          <w:t xml:space="preserve">https://doi.org/10.1016/j.gloenvcha.2016.05.009</w:t>
        </w:r>
      </w:hyperlink>
      <w:r>
        <w:t xml:space="preserve">.</w:t>
      </w:r>
    </w:p>
    <w:bookmarkEnd w:id="55"/>
    <w:bookmarkStart w:id="57" w:name="ref-Samuelson:1952"/>
    <w:p>
      <w:pPr>
        <w:pStyle w:val="Bibliography"/>
      </w:pPr>
      <w:r>
        <w:t xml:space="preserve">Samuelson, Paul A. 1952.</w:t>
      </w:r>
      <w:r>
        <w:t xml:space="preserve"> </w:t>
      </w:r>
      <w:r>
        <w:t xml:space="preserve">“Spatial Price Equilibrium and Linear Programming.”</w:t>
      </w:r>
      <w:r>
        <w:t xml:space="preserve"> </w:t>
      </w:r>
      <w:r>
        <w:rPr>
          <w:i/>
          <w:iCs/>
        </w:rPr>
        <w:t xml:space="preserve">The American Economic Review</w:t>
      </w:r>
      <w:r>
        <w:t xml:space="preserve"> </w:t>
      </w:r>
      <w:r>
        <w:t xml:space="preserve">42 (3): 283–303.</w:t>
      </w:r>
      <w:r>
        <w:t xml:space="preserve"> </w:t>
      </w:r>
      <w:hyperlink r:id="rId56">
        <w:r>
          <w:rPr>
            <w:rStyle w:val="Hyperlink"/>
          </w:rPr>
          <w:t xml:space="preserve">http://www.jstor.org/stable/1810381</w:t>
        </w:r>
      </w:hyperlink>
      <w:r>
        <w:t xml:space="preserve">.</w:t>
      </w:r>
    </w:p>
    <w:bookmarkEnd w:id="57"/>
    <w:bookmarkEnd w:id="58"/>
    <w:bookmarkEnd w:id="59"/>
    <w:bookmarkEnd w:id="60"/>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hyperlink" Id="rId24" Target="" TargetMode="External" /><Relationship Type="http://schemas.openxmlformats.org/officeDocument/2006/relationships/hyperlink" Id="rId56" Target="http://www.jstor.org/stable/1810381" TargetMode="External" /><Relationship Type="http://schemas.openxmlformats.org/officeDocument/2006/relationships/hyperlink" Id="rId54" Target="https://doi.org/10.1016/j.gloenvcha.2016.05.009" TargetMode="External" /><Relationship Type="http://schemas.openxmlformats.org/officeDocument/2006/relationships/hyperlink" Id="rId49" Target="https://doi.org/10.1093/forestry/cpu047" TargetMode="External" /><Relationship Type="http://schemas.openxmlformats.org/officeDocument/2006/relationships/hyperlink" Id="rId52" Target="https://scholar.google.com/citations?user=brsoyeyaaaaj&amp;hl=de&amp;oi=sra"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56" Target="http://www.jstor.org/stable/1810381" TargetMode="External" /><Relationship Type="http://schemas.openxmlformats.org/officeDocument/2006/relationships/hyperlink" Id="rId54" Target="https://doi.org/10.1016/j.gloenvcha.2016.05.009" TargetMode="External" /><Relationship Type="http://schemas.openxmlformats.org/officeDocument/2006/relationships/hyperlink" Id="rId49" Target="https://doi.org/10.1093/forestry/cpu047" TargetMode="External" /><Relationship Type="http://schemas.openxmlformats.org/officeDocument/2006/relationships/hyperlink" Id="rId52" Target="https://scholar.google.com/citations?user=brsoyeyaaaaj&amp;hl=de&amp;oi=sr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2024-12-09T06:58:42Z</dcterms:created>
  <dcterms:modified xsi:type="dcterms:W3CDTF">2024-12-09T06:58:42Z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DOCUMENTATION.bib</vt:lpwstr>
  </property>
  <property fmtid="{D5CDD505-2E9C-101B-9397-08002B2CF9AE}" pid="3" name="link-citations">
    <vt:lpwstr>True</vt:lpwstr>
  </property>
</Properties>
</file>