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Here are a few targeted search queries you can copy and paste into your updated application to test the live graph traversal.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Since you updated the nodes to be circles, these queries will show how the specific circular nodes and their connecting edges light up in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crimson and gold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while the rest of the graph dims.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Testing Disease &amp; Mechanism of Action (Amivantamab)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What is the mechanism of action for Amivantamab in NSCLC?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What you will see: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graph will isolate the NCT02665364 study. You will see the circular nodes for the Treatment (Amivantamab 1050mg IV), Active Ingredient (Amivantamab), and Mechanism of Action (EGFR/MET bispecific antibody) light up with red/gold highlights.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Testing Safety &amp; MedDRA Hierarchy (Teclistamab)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What neurological or immune-related adverse events (like ICANS) are associated with Teclistamab?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What you will see: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graph isolates NCT03145181. Watch the safety pathway illuminate through the circular nodes: SR-TECL-11 (Safety Report) $\rightarrow$ Cytokine Release Syndrome (Adverse Event) $\rightarrow$ Immune system disorders (MedDRA SOC).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Testing Medical Affairs &amp; Scientific Responses (Daratumumab)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What are the pharmacokinetic (PK) findings for Daratumumab administration in patients with renal impairment?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What you will see: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graph will isolate NCT04561234. The traversal will highlight the deep Scientific Response pathway: SciRes-DARA (Response Doc) $\rightarrow$ SubQ Admin in Renal Impairment (Inquiry Topic) $\rightarrow$ Pharmacokinetics (PK) (Medical Concept).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Testing Protocol Feasibility &amp; Biomarkers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What biomarker mutation is required for enrollment in the lung cancer protocol?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What you will see: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Triggers the NCT02665364 (NSCLC) pathway, highlighting the Population circle (NSCLC patients post-platinum therapy) and its linked Biomarker circle (EGFR Exon 20 insertion mutation).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Cross-Trial View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Compare the competitor comparator regimens across all studies.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What you will see: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Because this doesn't mention a specific drug, the system will highlight the entire graph, showing all three clinical trials and illuminating the Teal-colored ComparatorTreatment circles (Lenalidomide / Dexamethasone, Platinum-based Chemotherapy, Carfilzomib / Dexamethasone).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spacing w:after="80" w:before="280" w:line="275.9999942779541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s79th4dz4km4" w:id="0"/>
      <w:bookmarkEnd w:id="0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Architecture Overview</w:t>
      </w:r>
    </w:p>
    <w:p w:rsidR="00000000" w:rsidDel="00000000" w:rsidP="00000000" w:rsidRDefault="00000000" w:rsidRPr="00000000" w14:paraId="00000015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solution is an end-to-end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GraphRAG (Retrieval-Augmented Generation) framework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designed for Clinical Trial Intelligence. It unifies structured and unstructured clinical evidence into a searchable, semantic intelligence layer, matching the provided target architecture and UI design.</w:t>
      </w:r>
    </w:p>
    <w:p w:rsidR="00000000" w:rsidDel="00000000" w:rsidP="00000000" w:rsidRDefault="00000000" w:rsidRPr="00000000" w14:paraId="00000016">
      <w:pPr>
        <w:pStyle w:val="Heading3"/>
        <w:spacing w:after="80" w:before="280" w:line="275.9999942779541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vhp2r21wk30a" w:id="1"/>
      <w:bookmarkEnd w:id="1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Knowledge Representation (RDF Graph)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Multi-Source Ingestion: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framework unifies disjointed clinical domains by integrating mock data from Clinical Study Reports, Protocols, Safety/RIM data, and Scientific Responses.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Deep Semantic Ontology: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Instead of a flat structure, it builds a multi-level W3C-standard RDF knowledge graph. Clinical studies act as central anchors that branch deeply into specific mechanisms of action, patient biomarkers, and granular MedDRA System Organ Classes (SOCs).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Competitor Mapping: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It structurally differentiates between primary treatments and standard-of-care competitor regimens to allow for comparative efficacy queries.</w:t>
      </w:r>
    </w:p>
    <w:p w:rsidR="00000000" w:rsidDel="00000000" w:rsidP="00000000" w:rsidRDefault="00000000" w:rsidRPr="00000000" w14:paraId="0000001A">
      <w:pPr>
        <w:pStyle w:val="Heading3"/>
        <w:spacing w:after="80" w:before="280" w:line="275.9999942779541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b93t8ex05ius" w:id="2"/>
      <w:bookmarkEnd w:id="2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AI Orchestration (LangGraph)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Intent Routing: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routing node evaluates the user's natural language query to classify the clinical intent (e.g., Safety Surveillance, Protocol Feasibility).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Dynamic SPARQL Generation: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system translates natural language into precise SPARQL queries to extract exact evidentiary triples from the RDF graph.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Sub-Graph Traversal: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orchestration engine calculates the active traversal pathway, identifying exactly which nodes (now circular) and edges were utilized to retrieve the information.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Grounded Synthesis: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final synthesis node binds the retrieved triples to the baseline context, generating an explainable answer with explicit citations and a confidence grounding score.</w:t>
      </w:r>
    </w:p>
    <w:p w:rsidR="00000000" w:rsidDel="00000000" w:rsidP="00000000" w:rsidRDefault="00000000" w:rsidRPr="00000000" w14:paraId="0000001F">
      <w:pPr>
        <w:pStyle w:val="Heading3"/>
        <w:spacing w:after="80" w:before="280" w:line="275.9999942779541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xf0xkz2tz8t3" w:id="3"/>
      <w:bookmarkEnd w:id="3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Interactive User Interface (Gradio)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Faceted Search Portal: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UI mimics the "iMedical Search" layout, featuring side-panel metadata filters for document types and specific drugs.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Explainable RAG: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interface displays the synthesized answer alongside the generated SPARQL query and traceable citations.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Live Visual Pathways: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Using an embedded Vis.js physics canvas, the framework provides a dynamic representation of the ontology. When a search is executed, the specific semantic path taken by the AI is illuminated in gold and crimson, making the AI's reasoning completely transparent.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