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5717F8" w:rsidP="00C65F19">
      <w:pPr>
        <w:pStyle w:val="DocumentTitle"/>
        <w:rPr>
          <w:b/>
          <w:lang w:val="en-US"/>
        </w:rPr>
      </w:pPr>
      <w:r>
        <w:rPr>
          <w:b/>
          <w:lang w:val="en-US"/>
        </w:rPr>
        <w:t>TbGenerator</w:t>
      </w:r>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B42D3B"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4846132" w:history="1">
        <w:r w:rsidR="00B42D3B" w:rsidRPr="00DF1628">
          <w:rPr>
            <w:rStyle w:val="Hyperlink"/>
            <w:noProof/>
            <w:lang w:val="en-US"/>
          </w:rPr>
          <w:t>1</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Introduction</w:t>
        </w:r>
        <w:r w:rsidR="00B42D3B">
          <w:rPr>
            <w:noProof/>
            <w:webHidden/>
          </w:rPr>
          <w:tab/>
        </w:r>
        <w:r w:rsidR="00B42D3B">
          <w:rPr>
            <w:noProof/>
            <w:webHidden/>
          </w:rPr>
          <w:fldChar w:fldCharType="begin"/>
        </w:r>
        <w:r w:rsidR="00B42D3B">
          <w:rPr>
            <w:noProof/>
            <w:webHidden/>
          </w:rPr>
          <w:instrText xml:space="preserve"> PAGEREF _Toc514846132 \h </w:instrText>
        </w:r>
        <w:r w:rsidR="00B42D3B">
          <w:rPr>
            <w:noProof/>
            <w:webHidden/>
          </w:rPr>
        </w:r>
        <w:r w:rsidR="00B42D3B">
          <w:rPr>
            <w:noProof/>
            <w:webHidden/>
          </w:rPr>
          <w:fldChar w:fldCharType="separate"/>
        </w:r>
        <w:r w:rsidR="00262D4D">
          <w:rPr>
            <w:noProof/>
            <w:webHidden/>
          </w:rPr>
          <w:t>3</w:t>
        </w:r>
        <w:r w:rsidR="00B42D3B">
          <w:rPr>
            <w:noProof/>
            <w:webHidden/>
          </w:rPr>
          <w:fldChar w:fldCharType="end"/>
        </w:r>
      </w:hyperlink>
    </w:p>
    <w:p w:rsidR="00B42D3B" w:rsidRDefault="00707B88">
      <w:pPr>
        <w:pStyle w:val="TOC2"/>
        <w:rPr>
          <w:rFonts w:asciiTheme="minorHAnsi" w:eastAsiaTheme="minorEastAsia" w:hAnsiTheme="minorHAnsi" w:cstheme="minorBidi"/>
          <w:noProof/>
          <w:sz w:val="22"/>
          <w:szCs w:val="22"/>
          <w:lang w:eastAsia="de-CH"/>
        </w:rPr>
      </w:pPr>
      <w:hyperlink w:anchor="_Toc514846133" w:history="1">
        <w:r w:rsidR="00B42D3B" w:rsidRPr="00DF1628">
          <w:rPr>
            <w:rStyle w:val="Hyperlink"/>
            <w:noProof/>
            <w:lang w:val="en-US"/>
          </w:rPr>
          <w:t>1.1</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Aim of the Tool</w:t>
        </w:r>
        <w:r w:rsidR="00B42D3B">
          <w:rPr>
            <w:noProof/>
            <w:webHidden/>
          </w:rPr>
          <w:tab/>
        </w:r>
        <w:r w:rsidR="00B42D3B">
          <w:rPr>
            <w:noProof/>
            <w:webHidden/>
          </w:rPr>
          <w:fldChar w:fldCharType="begin"/>
        </w:r>
        <w:r w:rsidR="00B42D3B">
          <w:rPr>
            <w:noProof/>
            <w:webHidden/>
          </w:rPr>
          <w:instrText xml:space="preserve"> PAGEREF _Toc514846133 \h </w:instrText>
        </w:r>
        <w:r w:rsidR="00B42D3B">
          <w:rPr>
            <w:noProof/>
            <w:webHidden/>
          </w:rPr>
        </w:r>
        <w:r w:rsidR="00B42D3B">
          <w:rPr>
            <w:noProof/>
            <w:webHidden/>
          </w:rPr>
          <w:fldChar w:fldCharType="separate"/>
        </w:r>
        <w:r w:rsidR="00262D4D">
          <w:rPr>
            <w:noProof/>
            <w:webHidden/>
          </w:rPr>
          <w:t>3</w:t>
        </w:r>
        <w:r w:rsidR="00B42D3B">
          <w:rPr>
            <w:noProof/>
            <w:webHidden/>
          </w:rPr>
          <w:fldChar w:fldCharType="end"/>
        </w:r>
      </w:hyperlink>
    </w:p>
    <w:p w:rsidR="00B42D3B" w:rsidRDefault="00707B88">
      <w:pPr>
        <w:pStyle w:val="TOC2"/>
        <w:rPr>
          <w:rFonts w:asciiTheme="minorHAnsi" w:eastAsiaTheme="minorEastAsia" w:hAnsiTheme="minorHAnsi" w:cstheme="minorBidi"/>
          <w:noProof/>
          <w:sz w:val="22"/>
          <w:szCs w:val="22"/>
          <w:lang w:eastAsia="de-CH"/>
        </w:rPr>
      </w:pPr>
      <w:hyperlink w:anchor="_Toc514846134" w:history="1">
        <w:r w:rsidR="00B42D3B" w:rsidRPr="00DF1628">
          <w:rPr>
            <w:rStyle w:val="Hyperlink"/>
            <w:noProof/>
            <w:lang w:val="en-US"/>
          </w:rPr>
          <w:t>1.2</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Test-bench Styles</w:t>
        </w:r>
        <w:r w:rsidR="00B42D3B">
          <w:rPr>
            <w:noProof/>
            <w:webHidden/>
          </w:rPr>
          <w:tab/>
        </w:r>
        <w:r w:rsidR="00B42D3B">
          <w:rPr>
            <w:noProof/>
            <w:webHidden/>
          </w:rPr>
          <w:fldChar w:fldCharType="begin"/>
        </w:r>
        <w:r w:rsidR="00B42D3B">
          <w:rPr>
            <w:noProof/>
            <w:webHidden/>
          </w:rPr>
          <w:instrText xml:space="preserve"> PAGEREF _Toc514846134 \h </w:instrText>
        </w:r>
        <w:r w:rsidR="00B42D3B">
          <w:rPr>
            <w:noProof/>
            <w:webHidden/>
          </w:rPr>
        </w:r>
        <w:r w:rsidR="00B42D3B">
          <w:rPr>
            <w:noProof/>
            <w:webHidden/>
          </w:rPr>
          <w:fldChar w:fldCharType="separate"/>
        </w:r>
        <w:r w:rsidR="00262D4D">
          <w:rPr>
            <w:noProof/>
            <w:webHidden/>
          </w:rPr>
          <w:t>3</w:t>
        </w:r>
        <w:r w:rsidR="00B42D3B">
          <w:rPr>
            <w:noProof/>
            <w:webHidden/>
          </w:rPr>
          <w:fldChar w:fldCharType="end"/>
        </w:r>
      </w:hyperlink>
    </w:p>
    <w:p w:rsidR="00B42D3B" w:rsidRDefault="00707B88">
      <w:pPr>
        <w:pStyle w:val="TOC1"/>
        <w:rPr>
          <w:rFonts w:asciiTheme="minorHAnsi" w:eastAsiaTheme="minorEastAsia" w:hAnsiTheme="minorHAnsi" w:cstheme="minorBidi"/>
          <w:noProof/>
          <w:sz w:val="22"/>
          <w:szCs w:val="22"/>
          <w:lang w:eastAsia="de-CH"/>
        </w:rPr>
      </w:pPr>
      <w:hyperlink w:anchor="_Toc514846135" w:history="1">
        <w:r w:rsidR="00B42D3B" w:rsidRPr="00DF1628">
          <w:rPr>
            <w:rStyle w:val="Hyperlink"/>
            <w:noProof/>
            <w:lang w:val="en-US"/>
          </w:rPr>
          <w:t>2</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Command Line Interface</w:t>
        </w:r>
        <w:r w:rsidR="00B42D3B">
          <w:rPr>
            <w:noProof/>
            <w:webHidden/>
          </w:rPr>
          <w:tab/>
        </w:r>
        <w:r w:rsidR="00B42D3B">
          <w:rPr>
            <w:noProof/>
            <w:webHidden/>
          </w:rPr>
          <w:fldChar w:fldCharType="begin"/>
        </w:r>
        <w:r w:rsidR="00B42D3B">
          <w:rPr>
            <w:noProof/>
            <w:webHidden/>
          </w:rPr>
          <w:instrText xml:space="preserve"> PAGEREF _Toc514846135 \h </w:instrText>
        </w:r>
        <w:r w:rsidR="00B42D3B">
          <w:rPr>
            <w:noProof/>
            <w:webHidden/>
          </w:rPr>
        </w:r>
        <w:r w:rsidR="00B42D3B">
          <w:rPr>
            <w:noProof/>
            <w:webHidden/>
          </w:rPr>
          <w:fldChar w:fldCharType="separate"/>
        </w:r>
        <w:r w:rsidR="00262D4D">
          <w:rPr>
            <w:noProof/>
            <w:webHidden/>
          </w:rPr>
          <w:t>4</w:t>
        </w:r>
        <w:r w:rsidR="00B42D3B">
          <w:rPr>
            <w:noProof/>
            <w:webHidden/>
          </w:rPr>
          <w:fldChar w:fldCharType="end"/>
        </w:r>
      </w:hyperlink>
    </w:p>
    <w:p w:rsidR="00B42D3B" w:rsidRDefault="00707B88">
      <w:pPr>
        <w:pStyle w:val="TOC2"/>
        <w:rPr>
          <w:rFonts w:asciiTheme="minorHAnsi" w:eastAsiaTheme="minorEastAsia" w:hAnsiTheme="minorHAnsi" w:cstheme="minorBidi"/>
          <w:noProof/>
          <w:sz w:val="22"/>
          <w:szCs w:val="22"/>
          <w:lang w:eastAsia="de-CH"/>
        </w:rPr>
      </w:pPr>
      <w:hyperlink w:anchor="_Toc514846136" w:history="1">
        <w:r w:rsidR="00B42D3B" w:rsidRPr="00DF1628">
          <w:rPr>
            <w:rStyle w:val="Hyperlink"/>
            <w:noProof/>
            <w:lang w:val="en-US"/>
          </w:rPr>
          <w:t>2.1</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Introduction</w:t>
        </w:r>
        <w:r w:rsidR="00B42D3B">
          <w:rPr>
            <w:noProof/>
            <w:webHidden/>
          </w:rPr>
          <w:tab/>
        </w:r>
        <w:r w:rsidR="00B42D3B">
          <w:rPr>
            <w:noProof/>
            <w:webHidden/>
          </w:rPr>
          <w:fldChar w:fldCharType="begin"/>
        </w:r>
        <w:r w:rsidR="00B42D3B">
          <w:rPr>
            <w:noProof/>
            <w:webHidden/>
          </w:rPr>
          <w:instrText xml:space="preserve"> PAGEREF _Toc514846136 \h </w:instrText>
        </w:r>
        <w:r w:rsidR="00B42D3B">
          <w:rPr>
            <w:noProof/>
            <w:webHidden/>
          </w:rPr>
        </w:r>
        <w:r w:rsidR="00B42D3B">
          <w:rPr>
            <w:noProof/>
            <w:webHidden/>
          </w:rPr>
          <w:fldChar w:fldCharType="separate"/>
        </w:r>
        <w:r w:rsidR="00262D4D">
          <w:rPr>
            <w:noProof/>
            <w:webHidden/>
          </w:rPr>
          <w:t>4</w:t>
        </w:r>
        <w:r w:rsidR="00B42D3B">
          <w:rPr>
            <w:noProof/>
            <w:webHidden/>
          </w:rPr>
          <w:fldChar w:fldCharType="end"/>
        </w:r>
      </w:hyperlink>
    </w:p>
    <w:p w:rsidR="00B42D3B" w:rsidRDefault="00707B88">
      <w:pPr>
        <w:pStyle w:val="TOC2"/>
        <w:rPr>
          <w:rFonts w:asciiTheme="minorHAnsi" w:eastAsiaTheme="minorEastAsia" w:hAnsiTheme="minorHAnsi" w:cstheme="minorBidi"/>
          <w:noProof/>
          <w:sz w:val="22"/>
          <w:szCs w:val="22"/>
          <w:lang w:eastAsia="de-CH"/>
        </w:rPr>
      </w:pPr>
      <w:hyperlink w:anchor="_Toc514846137" w:history="1">
        <w:r w:rsidR="00B42D3B" w:rsidRPr="00DF1628">
          <w:rPr>
            <w:rStyle w:val="Hyperlink"/>
            <w:noProof/>
            <w:lang w:val="en-US"/>
          </w:rPr>
          <w:t>2.2</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Arguments</w:t>
        </w:r>
        <w:r w:rsidR="00B42D3B">
          <w:rPr>
            <w:noProof/>
            <w:webHidden/>
          </w:rPr>
          <w:tab/>
        </w:r>
        <w:r w:rsidR="00B42D3B">
          <w:rPr>
            <w:noProof/>
            <w:webHidden/>
          </w:rPr>
          <w:fldChar w:fldCharType="begin"/>
        </w:r>
        <w:r w:rsidR="00B42D3B">
          <w:rPr>
            <w:noProof/>
            <w:webHidden/>
          </w:rPr>
          <w:instrText xml:space="preserve"> PAGEREF _Toc514846137 \h </w:instrText>
        </w:r>
        <w:r w:rsidR="00B42D3B">
          <w:rPr>
            <w:noProof/>
            <w:webHidden/>
          </w:rPr>
        </w:r>
        <w:r w:rsidR="00B42D3B">
          <w:rPr>
            <w:noProof/>
            <w:webHidden/>
          </w:rPr>
          <w:fldChar w:fldCharType="separate"/>
        </w:r>
        <w:r w:rsidR="00262D4D">
          <w:rPr>
            <w:noProof/>
            <w:webHidden/>
          </w:rPr>
          <w:t>4</w:t>
        </w:r>
        <w:r w:rsidR="00B42D3B">
          <w:rPr>
            <w:noProof/>
            <w:webHidden/>
          </w:rPr>
          <w:fldChar w:fldCharType="end"/>
        </w:r>
      </w:hyperlink>
    </w:p>
    <w:p w:rsidR="00B42D3B" w:rsidRDefault="00707B88">
      <w:pPr>
        <w:pStyle w:val="TOC1"/>
        <w:rPr>
          <w:rFonts w:asciiTheme="minorHAnsi" w:eastAsiaTheme="minorEastAsia" w:hAnsiTheme="minorHAnsi" w:cstheme="minorBidi"/>
          <w:noProof/>
          <w:sz w:val="22"/>
          <w:szCs w:val="22"/>
          <w:lang w:eastAsia="de-CH"/>
        </w:rPr>
      </w:pPr>
      <w:hyperlink w:anchor="_Toc514846138" w:history="1">
        <w:r w:rsidR="00B42D3B" w:rsidRPr="00DF1628">
          <w:rPr>
            <w:rStyle w:val="Hyperlink"/>
            <w:noProof/>
            <w:lang w:val="en-US"/>
          </w:rPr>
          <w:t>3</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Graphical User Interface</w:t>
        </w:r>
        <w:r w:rsidR="00B42D3B">
          <w:rPr>
            <w:noProof/>
            <w:webHidden/>
          </w:rPr>
          <w:tab/>
        </w:r>
        <w:r w:rsidR="00B42D3B">
          <w:rPr>
            <w:noProof/>
            <w:webHidden/>
          </w:rPr>
          <w:fldChar w:fldCharType="begin"/>
        </w:r>
        <w:r w:rsidR="00B42D3B">
          <w:rPr>
            <w:noProof/>
            <w:webHidden/>
          </w:rPr>
          <w:instrText xml:space="preserve"> PAGEREF _Toc514846138 \h </w:instrText>
        </w:r>
        <w:r w:rsidR="00B42D3B">
          <w:rPr>
            <w:noProof/>
            <w:webHidden/>
          </w:rPr>
        </w:r>
        <w:r w:rsidR="00B42D3B">
          <w:rPr>
            <w:noProof/>
            <w:webHidden/>
          </w:rPr>
          <w:fldChar w:fldCharType="separate"/>
        </w:r>
        <w:r w:rsidR="00262D4D">
          <w:rPr>
            <w:noProof/>
            <w:webHidden/>
          </w:rPr>
          <w:t>5</w:t>
        </w:r>
        <w:r w:rsidR="00B42D3B">
          <w:rPr>
            <w:noProof/>
            <w:webHidden/>
          </w:rPr>
          <w:fldChar w:fldCharType="end"/>
        </w:r>
      </w:hyperlink>
    </w:p>
    <w:p w:rsidR="00B42D3B" w:rsidRDefault="00707B88">
      <w:pPr>
        <w:pStyle w:val="TOC1"/>
        <w:rPr>
          <w:rFonts w:asciiTheme="minorHAnsi" w:eastAsiaTheme="minorEastAsia" w:hAnsiTheme="minorHAnsi" w:cstheme="minorBidi"/>
          <w:noProof/>
          <w:sz w:val="22"/>
          <w:szCs w:val="22"/>
          <w:lang w:eastAsia="de-CH"/>
        </w:rPr>
      </w:pPr>
      <w:hyperlink w:anchor="_Toc514846139" w:history="1">
        <w:r w:rsidR="00B42D3B" w:rsidRPr="00DF1628">
          <w:rPr>
            <w:rStyle w:val="Hyperlink"/>
            <w:noProof/>
            <w:lang w:val="en-US"/>
          </w:rPr>
          <w:t>4</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VHDL Tags</w:t>
        </w:r>
        <w:r w:rsidR="00B42D3B">
          <w:rPr>
            <w:noProof/>
            <w:webHidden/>
          </w:rPr>
          <w:tab/>
        </w:r>
        <w:r w:rsidR="00B42D3B">
          <w:rPr>
            <w:noProof/>
            <w:webHidden/>
          </w:rPr>
          <w:fldChar w:fldCharType="begin"/>
        </w:r>
        <w:r w:rsidR="00B42D3B">
          <w:rPr>
            <w:noProof/>
            <w:webHidden/>
          </w:rPr>
          <w:instrText xml:space="preserve"> PAGEREF _Toc514846139 \h </w:instrText>
        </w:r>
        <w:r w:rsidR="00B42D3B">
          <w:rPr>
            <w:noProof/>
            <w:webHidden/>
          </w:rPr>
        </w:r>
        <w:r w:rsidR="00B42D3B">
          <w:rPr>
            <w:noProof/>
            <w:webHidden/>
          </w:rPr>
          <w:fldChar w:fldCharType="separate"/>
        </w:r>
        <w:r w:rsidR="00262D4D">
          <w:rPr>
            <w:noProof/>
            <w:webHidden/>
          </w:rPr>
          <w:t>5</w:t>
        </w:r>
        <w:r w:rsidR="00B42D3B">
          <w:rPr>
            <w:noProof/>
            <w:webHidden/>
          </w:rPr>
          <w:fldChar w:fldCharType="end"/>
        </w:r>
      </w:hyperlink>
    </w:p>
    <w:p w:rsidR="00B42D3B" w:rsidRDefault="00707B88">
      <w:pPr>
        <w:pStyle w:val="TOC2"/>
        <w:rPr>
          <w:rFonts w:asciiTheme="minorHAnsi" w:eastAsiaTheme="minorEastAsia" w:hAnsiTheme="minorHAnsi" w:cstheme="minorBidi"/>
          <w:noProof/>
          <w:sz w:val="22"/>
          <w:szCs w:val="22"/>
          <w:lang w:eastAsia="de-CH"/>
        </w:rPr>
      </w:pPr>
      <w:hyperlink w:anchor="_Toc514846140" w:history="1">
        <w:r w:rsidR="00B42D3B" w:rsidRPr="00DF1628">
          <w:rPr>
            <w:rStyle w:val="Hyperlink"/>
            <w:noProof/>
            <w:lang w:val="en-US"/>
          </w:rPr>
          <w:t>4.1</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Syntax</w:t>
        </w:r>
        <w:r w:rsidR="00B42D3B">
          <w:rPr>
            <w:noProof/>
            <w:webHidden/>
          </w:rPr>
          <w:tab/>
        </w:r>
        <w:r w:rsidR="00B42D3B">
          <w:rPr>
            <w:noProof/>
            <w:webHidden/>
          </w:rPr>
          <w:fldChar w:fldCharType="begin"/>
        </w:r>
        <w:r w:rsidR="00B42D3B">
          <w:rPr>
            <w:noProof/>
            <w:webHidden/>
          </w:rPr>
          <w:instrText xml:space="preserve"> PAGEREF _Toc514846140 \h </w:instrText>
        </w:r>
        <w:r w:rsidR="00B42D3B">
          <w:rPr>
            <w:noProof/>
            <w:webHidden/>
          </w:rPr>
        </w:r>
        <w:r w:rsidR="00B42D3B">
          <w:rPr>
            <w:noProof/>
            <w:webHidden/>
          </w:rPr>
          <w:fldChar w:fldCharType="separate"/>
        </w:r>
        <w:r w:rsidR="00262D4D">
          <w:rPr>
            <w:noProof/>
            <w:webHidden/>
          </w:rPr>
          <w:t>5</w:t>
        </w:r>
        <w:r w:rsidR="00B42D3B">
          <w:rPr>
            <w:noProof/>
            <w:webHidden/>
          </w:rPr>
          <w:fldChar w:fldCharType="end"/>
        </w:r>
      </w:hyperlink>
    </w:p>
    <w:p w:rsidR="00B42D3B" w:rsidRDefault="00707B88">
      <w:pPr>
        <w:pStyle w:val="TOC2"/>
        <w:rPr>
          <w:rFonts w:asciiTheme="minorHAnsi" w:eastAsiaTheme="minorEastAsia" w:hAnsiTheme="minorHAnsi" w:cstheme="minorBidi"/>
          <w:noProof/>
          <w:sz w:val="22"/>
          <w:szCs w:val="22"/>
          <w:lang w:eastAsia="de-CH"/>
        </w:rPr>
      </w:pPr>
      <w:hyperlink w:anchor="_Toc514846141" w:history="1">
        <w:r w:rsidR="00B42D3B" w:rsidRPr="00DF1628">
          <w:rPr>
            <w:rStyle w:val="Hyperlink"/>
            <w:noProof/>
            <w:lang w:val="en-US"/>
          </w:rPr>
          <w:t>4.2</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Tag Descriptions</w:t>
        </w:r>
        <w:r w:rsidR="00B42D3B">
          <w:rPr>
            <w:noProof/>
            <w:webHidden/>
          </w:rPr>
          <w:tab/>
        </w:r>
        <w:r w:rsidR="00B42D3B">
          <w:rPr>
            <w:noProof/>
            <w:webHidden/>
          </w:rPr>
          <w:fldChar w:fldCharType="begin"/>
        </w:r>
        <w:r w:rsidR="00B42D3B">
          <w:rPr>
            <w:noProof/>
            <w:webHidden/>
          </w:rPr>
          <w:instrText xml:space="preserve"> PAGEREF _Toc514846141 \h </w:instrText>
        </w:r>
        <w:r w:rsidR="00B42D3B">
          <w:rPr>
            <w:noProof/>
            <w:webHidden/>
          </w:rPr>
        </w:r>
        <w:r w:rsidR="00B42D3B">
          <w:rPr>
            <w:noProof/>
            <w:webHidden/>
          </w:rPr>
          <w:fldChar w:fldCharType="separate"/>
        </w:r>
        <w:r w:rsidR="00262D4D">
          <w:rPr>
            <w:noProof/>
            <w:webHidden/>
          </w:rPr>
          <w:t>6</w:t>
        </w:r>
        <w:r w:rsidR="00B42D3B">
          <w:rPr>
            <w:noProof/>
            <w:webHidden/>
          </w:rPr>
          <w:fldChar w:fldCharType="end"/>
        </w:r>
      </w:hyperlink>
    </w:p>
    <w:p w:rsidR="00B42D3B" w:rsidRDefault="00707B88">
      <w:pPr>
        <w:pStyle w:val="TOC1"/>
        <w:rPr>
          <w:rFonts w:asciiTheme="minorHAnsi" w:eastAsiaTheme="minorEastAsia" w:hAnsiTheme="minorHAnsi" w:cstheme="minorBidi"/>
          <w:noProof/>
          <w:sz w:val="22"/>
          <w:szCs w:val="22"/>
          <w:lang w:eastAsia="de-CH"/>
        </w:rPr>
      </w:pPr>
      <w:hyperlink w:anchor="_Toc514846142" w:history="1">
        <w:r w:rsidR="00B42D3B" w:rsidRPr="00DF1628">
          <w:rPr>
            <w:rStyle w:val="Hyperlink"/>
            <w:noProof/>
            <w:lang w:val="en-US"/>
          </w:rPr>
          <w:t>5</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Tips &amp; Tricks</w:t>
        </w:r>
        <w:r w:rsidR="00B42D3B">
          <w:rPr>
            <w:noProof/>
            <w:webHidden/>
          </w:rPr>
          <w:tab/>
        </w:r>
        <w:r w:rsidR="00B42D3B">
          <w:rPr>
            <w:noProof/>
            <w:webHidden/>
          </w:rPr>
          <w:fldChar w:fldCharType="begin"/>
        </w:r>
        <w:r w:rsidR="00B42D3B">
          <w:rPr>
            <w:noProof/>
            <w:webHidden/>
          </w:rPr>
          <w:instrText xml:space="preserve"> PAGEREF _Toc514846142 \h </w:instrText>
        </w:r>
        <w:r w:rsidR="00B42D3B">
          <w:rPr>
            <w:noProof/>
            <w:webHidden/>
          </w:rPr>
        </w:r>
        <w:r w:rsidR="00B42D3B">
          <w:rPr>
            <w:noProof/>
            <w:webHidden/>
          </w:rPr>
          <w:fldChar w:fldCharType="separate"/>
        </w:r>
        <w:r w:rsidR="00262D4D">
          <w:rPr>
            <w:noProof/>
            <w:webHidden/>
          </w:rPr>
          <w:t>10</w:t>
        </w:r>
        <w:r w:rsidR="00B42D3B">
          <w:rPr>
            <w:noProof/>
            <w:webHidden/>
          </w:rPr>
          <w:fldChar w:fldCharType="end"/>
        </w:r>
      </w:hyperlink>
    </w:p>
    <w:p w:rsidR="00B42D3B" w:rsidRDefault="00707B88">
      <w:pPr>
        <w:pStyle w:val="TOC2"/>
        <w:rPr>
          <w:rFonts w:asciiTheme="minorHAnsi" w:eastAsiaTheme="minorEastAsia" w:hAnsiTheme="minorHAnsi" w:cstheme="minorBidi"/>
          <w:noProof/>
          <w:sz w:val="22"/>
          <w:szCs w:val="22"/>
          <w:lang w:eastAsia="de-CH"/>
        </w:rPr>
      </w:pPr>
      <w:hyperlink w:anchor="_Toc514846143" w:history="1">
        <w:r w:rsidR="00B42D3B" w:rsidRPr="00DF1628">
          <w:rPr>
            <w:rStyle w:val="Hyperlink"/>
            <w:noProof/>
            <w:lang w:val="en-US"/>
          </w:rPr>
          <w:t>5.1</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Inter-Procedure Communication in Packages</w:t>
        </w:r>
        <w:r w:rsidR="00B42D3B">
          <w:rPr>
            <w:noProof/>
            <w:webHidden/>
          </w:rPr>
          <w:tab/>
        </w:r>
        <w:r w:rsidR="00B42D3B">
          <w:rPr>
            <w:noProof/>
            <w:webHidden/>
          </w:rPr>
          <w:fldChar w:fldCharType="begin"/>
        </w:r>
        <w:r w:rsidR="00B42D3B">
          <w:rPr>
            <w:noProof/>
            <w:webHidden/>
          </w:rPr>
          <w:instrText xml:space="preserve"> PAGEREF _Toc514846143 \h </w:instrText>
        </w:r>
        <w:r w:rsidR="00B42D3B">
          <w:rPr>
            <w:noProof/>
            <w:webHidden/>
          </w:rPr>
        </w:r>
        <w:r w:rsidR="00B42D3B">
          <w:rPr>
            <w:noProof/>
            <w:webHidden/>
          </w:rPr>
          <w:fldChar w:fldCharType="separate"/>
        </w:r>
        <w:r w:rsidR="00262D4D">
          <w:rPr>
            <w:noProof/>
            <w:webHidden/>
          </w:rPr>
          <w:t>10</w:t>
        </w:r>
        <w:r w:rsidR="00B42D3B">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CE59DE" w:rsidRPr="00B85EDE" w:rsidRDefault="00AD0307" w:rsidP="00BB2F9D">
      <w:pPr>
        <w:rPr>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r w:rsidR="00B42D3B">
        <w:rPr>
          <w:b/>
          <w:bCs/>
          <w:noProof/>
          <w:szCs w:val="24"/>
          <w:lang w:val="en-US"/>
        </w:rPr>
        <w:t>No table of figures entries found.</w:t>
      </w:r>
      <w:r w:rsidRPr="00B85EDE">
        <w:rPr>
          <w:szCs w:val="24"/>
          <w:lang w:val="en-US"/>
        </w:rPr>
        <w:fldChar w:fldCharType="end"/>
      </w:r>
    </w:p>
    <w:p w:rsidR="00E97D9D" w:rsidRDefault="00CE59DE" w:rsidP="00B00A9E">
      <w:pPr>
        <w:pStyle w:val="Heading1"/>
        <w:rPr>
          <w:lang w:val="en-US"/>
        </w:rPr>
      </w:pPr>
      <w:r w:rsidRPr="00B85EDE">
        <w:rPr>
          <w:lang w:val="en-US"/>
        </w:rPr>
        <w:br w:type="page"/>
      </w:r>
      <w:bookmarkStart w:id="0" w:name="_Toc514846132"/>
      <w:r w:rsidR="00700D6D" w:rsidRPr="00B85EDE">
        <w:rPr>
          <w:lang w:val="en-US"/>
        </w:rPr>
        <w:lastRenderedPageBreak/>
        <w:t>Introduction</w:t>
      </w:r>
      <w:bookmarkEnd w:id="0"/>
    </w:p>
    <w:p w:rsidR="00AB6CC1" w:rsidRPr="00AB6CC1" w:rsidRDefault="00AB6CC1" w:rsidP="00AB6CC1">
      <w:pPr>
        <w:pStyle w:val="Heading2"/>
        <w:rPr>
          <w:lang w:val="en-US"/>
        </w:rPr>
      </w:pPr>
      <w:bookmarkStart w:id="1" w:name="_Toc514846133"/>
      <w:r>
        <w:rPr>
          <w:lang w:val="en-US"/>
        </w:rPr>
        <w:t>Aim of the Tool</w:t>
      </w:r>
      <w:bookmarkEnd w:id="1"/>
    </w:p>
    <w:p w:rsidR="00743221" w:rsidRDefault="00743221" w:rsidP="00743221">
      <w:pPr>
        <w:rPr>
          <w:lang w:val="en-US"/>
        </w:rPr>
      </w:pPr>
      <w:r>
        <w:rPr>
          <w:lang w:val="en-US"/>
        </w:rPr>
        <w:t xml:space="preserve">The tool </w:t>
      </w:r>
      <w:r>
        <w:rPr>
          <w:i/>
          <w:lang w:val="en-US"/>
        </w:rPr>
        <w:t xml:space="preserve">TbGenerator </w:t>
      </w:r>
      <w:r>
        <w:rPr>
          <w:lang w:val="en-US"/>
        </w:rPr>
        <w:t>automatically generates test</w:t>
      </w:r>
      <w:r w:rsidR="00AB6CC1">
        <w:rPr>
          <w:lang w:val="en-US"/>
        </w:rPr>
        <w:t>-</w:t>
      </w:r>
      <w:r>
        <w:rPr>
          <w:lang w:val="en-US"/>
        </w:rPr>
        <w:t>bench skeletons for a VHDL entity based on parsing the entity itself. This does not only save a lot of time that is usually lost on just instantiating the DUT, defining all signals, creating all clocks, etc. but it also leads to a consistent test</w:t>
      </w:r>
      <w:r w:rsidR="00AB6CC1">
        <w:rPr>
          <w:lang w:val="en-US"/>
        </w:rPr>
        <w:t>-</w:t>
      </w:r>
      <w:r>
        <w:rPr>
          <w:lang w:val="en-US"/>
        </w:rPr>
        <w:t>bench style. Having such a tool also raises the motivation to do proper testing since the effort (especially for boring work) is drastically reduced.</w:t>
      </w:r>
    </w:p>
    <w:p w:rsidR="00AB6CC1" w:rsidRDefault="00AB6CC1" w:rsidP="00743221">
      <w:pPr>
        <w:rPr>
          <w:lang w:val="en-US"/>
        </w:rPr>
      </w:pPr>
      <w:r>
        <w:rPr>
          <w:lang w:val="en-US"/>
        </w:rPr>
        <w:t>Whatever output the tool produces can be edited manually easily. The aim of the tool is not to cover each and every special case but to generate a skeleton that can be modified manually.</w:t>
      </w:r>
    </w:p>
    <w:p w:rsidR="00AB6CC1" w:rsidRDefault="00AB6CC1" w:rsidP="00AB6CC1">
      <w:pPr>
        <w:pStyle w:val="Heading2"/>
        <w:rPr>
          <w:lang w:val="en-US"/>
        </w:rPr>
      </w:pPr>
      <w:bookmarkStart w:id="2" w:name="_Toc514846134"/>
      <w:r>
        <w:rPr>
          <w:lang w:val="en-US"/>
        </w:rPr>
        <w:t>Test-bench Styles</w:t>
      </w:r>
      <w:bookmarkEnd w:id="2"/>
    </w:p>
    <w:p w:rsidR="00AB6CC1" w:rsidRDefault="00AB6CC1" w:rsidP="00AB6CC1">
      <w:pPr>
        <w:rPr>
          <w:lang w:val="en-US"/>
        </w:rPr>
      </w:pPr>
      <w:r>
        <w:rPr>
          <w:lang w:val="en-US"/>
        </w:rPr>
        <w:t>The tool supports two different test-bench styles.</w:t>
      </w:r>
    </w:p>
    <w:p w:rsidR="00AB6CC1" w:rsidRDefault="00AB6CC1" w:rsidP="00AB6CC1">
      <w:pPr>
        <w:pStyle w:val="Heading3"/>
        <w:rPr>
          <w:lang w:val="en-US"/>
        </w:rPr>
      </w:pPr>
      <w:r>
        <w:rPr>
          <w:lang w:val="en-US"/>
        </w:rPr>
        <w:t>Simple Test-benches</w:t>
      </w:r>
    </w:p>
    <w:p w:rsidR="00AB6CC1" w:rsidRDefault="00AB6CC1" w:rsidP="00AB6CC1">
      <w:pPr>
        <w:rPr>
          <w:lang w:val="en-US"/>
        </w:rPr>
      </w:pPr>
      <w:r>
        <w:rPr>
          <w:lang w:val="en-US"/>
        </w:rPr>
        <w:t xml:space="preserve">By default, </w:t>
      </w:r>
      <w:r>
        <w:rPr>
          <w:i/>
          <w:lang w:val="en-US"/>
        </w:rPr>
        <w:t>TbGenerator</w:t>
      </w:r>
      <w:r>
        <w:rPr>
          <w:lang w:val="en-US"/>
        </w:rPr>
        <w:t xml:space="preserve"> creates a simple test-bench that consists of one single file. In that file, the DUT is instantiated and all clocks and resets are generated. The actual test-cases (i.e. stimuli generation and response checking) happen in one or more processes within that one test-bench file.</w:t>
      </w:r>
    </w:p>
    <w:p w:rsidR="00AB6CC1" w:rsidRDefault="00AB6CC1" w:rsidP="00AB6CC1">
      <w:pPr>
        <w:rPr>
          <w:lang w:val="en-US"/>
        </w:rPr>
      </w:pPr>
      <w:r>
        <w:rPr>
          <w:lang w:val="en-US"/>
        </w:rPr>
        <w:t>An example for such a test-bench can be found here:</w:t>
      </w:r>
    </w:p>
    <w:p w:rsidR="00AB6CC1" w:rsidRPr="00AB6CC1" w:rsidRDefault="00AB6CC1" w:rsidP="00AB6CC1">
      <w:pPr>
        <w:rPr>
          <w:lang w:val="en-US"/>
        </w:rPr>
      </w:pPr>
      <w:r w:rsidRPr="00AB6CC1">
        <w:rPr>
          <w:i/>
          <w:lang w:val="en-US"/>
        </w:rPr>
        <w:t>&lt;root&gt;/example/simpleTb</w:t>
      </w:r>
      <w:r>
        <w:rPr>
          <w:lang w:val="en-US"/>
        </w:rPr>
        <w:tab/>
      </w:r>
      <w:r w:rsidRPr="00AB6CC1">
        <w:rPr>
          <w:lang w:val="en-US"/>
        </w:rPr>
        <w:sym w:font="Wingdings" w:char="F0E0"/>
      </w:r>
      <w:r>
        <w:rPr>
          <w:lang w:val="en-US"/>
        </w:rPr>
        <w:t xml:space="preserve"> execute </w:t>
      </w:r>
      <w:r w:rsidRPr="00AB6CC1">
        <w:rPr>
          <w:i/>
          <w:lang w:val="en-US"/>
        </w:rPr>
        <w:t>run.bat</w:t>
      </w:r>
      <w:r>
        <w:rPr>
          <w:lang w:val="en-US"/>
        </w:rPr>
        <w:t xml:space="preserve"> to generate the test-bench</w:t>
      </w:r>
    </w:p>
    <w:p w:rsidR="00AB6CC1" w:rsidRDefault="00AB6CC1" w:rsidP="00AB6CC1">
      <w:pPr>
        <w:pStyle w:val="Heading3"/>
        <w:rPr>
          <w:lang w:val="en-US"/>
        </w:rPr>
      </w:pPr>
      <w:r>
        <w:rPr>
          <w:lang w:val="en-US"/>
        </w:rPr>
        <w:t>Multi-Case Testbenches</w:t>
      </w:r>
    </w:p>
    <w:p w:rsidR="00AB6CC1" w:rsidRDefault="00AB6CC1" w:rsidP="00AB6CC1">
      <w:pPr>
        <w:rPr>
          <w:lang w:val="en-US"/>
        </w:rPr>
      </w:pPr>
      <w:r>
        <w:rPr>
          <w:lang w:val="en-US"/>
        </w:rPr>
        <w:t>For more complex test-benches with multiple test-cases, it is useful to split code into multiple files. Whenever test-bench generator generates a test-bench that contains multiple test-cases (see</w:t>
      </w:r>
      <w:r w:rsidR="009B65BA">
        <w:rPr>
          <w:lang w:val="en-US"/>
        </w:rPr>
        <w:t xml:space="preserve"> </w:t>
      </w:r>
      <w:r w:rsidR="009B65BA">
        <w:rPr>
          <w:lang w:val="en-US"/>
        </w:rPr>
        <w:fldChar w:fldCharType="begin"/>
      </w:r>
      <w:r w:rsidR="009B65BA">
        <w:rPr>
          <w:lang w:val="en-US"/>
        </w:rPr>
        <w:instrText xml:space="preserve"> REF _Ref514845184 \r \h </w:instrText>
      </w:r>
      <w:r w:rsidR="009B65BA">
        <w:rPr>
          <w:lang w:val="en-US"/>
        </w:rPr>
      </w:r>
      <w:r w:rsidR="009B65BA">
        <w:rPr>
          <w:lang w:val="en-US"/>
        </w:rPr>
        <w:fldChar w:fldCharType="separate"/>
      </w:r>
      <w:r w:rsidR="00262D4D">
        <w:rPr>
          <w:lang w:val="en-US"/>
        </w:rPr>
        <w:t>4.2.1.2</w:t>
      </w:r>
      <w:r w:rsidR="009B65BA">
        <w:rPr>
          <w:lang w:val="en-US"/>
        </w:rPr>
        <w:fldChar w:fldCharType="end"/>
      </w:r>
      <w:r>
        <w:rPr>
          <w:lang w:val="en-US"/>
        </w:rPr>
        <w:t>), the test-bench contains multiple files.</w:t>
      </w:r>
    </w:p>
    <w:p w:rsidR="00AB6CC1" w:rsidRDefault="00AB6CC1" w:rsidP="00AB6CC1">
      <w:pPr>
        <w:rPr>
          <w:lang w:val="en-US"/>
        </w:rPr>
      </w:pPr>
      <w:r>
        <w:rPr>
          <w:lang w:val="en-US"/>
        </w:rPr>
        <w:t>The main test-bench file (</w:t>
      </w:r>
      <w:r>
        <w:rPr>
          <w:i/>
          <w:lang w:val="en-US"/>
        </w:rPr>
        <w:t>xxx_tb.vhd</w:t>
      </w:r>
      <w:r>
        <w:rPr>
          <w:lang w:val="en-US"/>
        </w:rPr>
        <w:t>) is responsible for instantiating the DUT, generating clocks and resets as well as top-level control of the test-bench. The top-level control part is responsible for executing all test-cases, one after the other (only starting the next one if all processes of the last one completed).</w:t>
      </w:r>
    </w:p>
    <w:p w:rsidR="00AB6CC1" w:rsidRDefault="00AB6CC1" w:rsidP="00AB6CC1">
      <w:pPr>
        <w:rPr>
          <w:lang w:val="en-US"/>
        </w:rPr>
      </w:pPr>
      <w:r>
        <w:rPr>
          <w:lang w:val="en-US"/>
        </w:rPr>
        <w:t>The test-bench package file (</w:t>
      </w:r>
      <w:r>
        <w:rPr>
          <w:i/>
          <w:lang w:val="en-US"/>
        </w:rPr>
        <w:t>xxx_tb_pkg.vhd</w:t>
      </w:r>
      <w:r>
        <w:rPr>
          <w:lang w:val="en-US"/>
        </w:rPr>
        <w:t>) contains some type and constant definitions that are required in both, the main test-bench file and the test-case packages.</w:t>
      </w:r>
    </w:p>
    <w:p w:rsidR="00AB6CC1" w:rsidRPr="00AB6CC1" w:rsidRDefault="00AB6CC1" w:rsidP="00AB6CC1">
      <w:pPr>
        <w:rPr>
          <w:lang w:val="en-US"/>
        </w:rPr>
      </w:pPr>
      <w:r>
        <w:rPr>
          <w:lang w:val="en-US"/>
        </w:rPr>
        <w:t>The test-case package files (</w:t>
      </w:r>
      <w:r>
        <w:rPr>
          <w:i/>
          <w:lang w:val="en-US"/>
        </w:rPr>
        <w:t>xxx_tb_case_yyy.vhd</w:t>
      </w:r>
      <w:r>
        <w:rPr>
          <w:lang w:val="en-US"/>
        </w:rPr>
        <w:t>) contain procedures to do stimuli generation and response checking for one specific test-case. This is where the user-code for the test-cases must be added.</w:t>
      </w:r>
    </w:p>
    <w:p w:rsidR="00AB6CC1" w:rsidRDefault="00AB6CC1" w:rsidP="00AB6CC1">
      <w:pPr>
        <w:rPr>
          <w:lang w:val="en-US"/>
        </w:rPr>
      </w:pPr>
      <w:r>
        <w:rPr>
          <w:lang w:val="en-US"/>
        </w:rPr>
        <w:t>An example for such a test-bench can be found here:</w:t>
      </w:r>
    </w:p>
    <w:p w:rsidR="00AB6CC1" w:rsidRPr="00AB6CC1" w:rsidRDefault="00AB6CC1" w:rsidP="00AB6CC1">
      <w:pPr>
        <w:rPr>
          <w:lang w:val="en-US"/>
        </w:rPr>
      </w:pPr>
      <w:r w:rsidRPr="00AB6CC1">
        <w:rPr>
          <w:i/>
          <w:lang w:val="en-US"/>
        </w:rPr>
        <w:t>&lt;root&gt;/example/</w:t>
      </w:r>
      <w:r>
        <w:rPr>
          <w:i/>
          <w:lang w:val="en-US"/>
        </w:rPr>
        <w:t>multiCase</w:t>
      </w:r>
      <w:r w:rsidRPr="00AB6CC1">
        <w:rPr>
          <w:i/>
          <w:lang w:val="en-US"/>
        </w:rPr>
        <w:t>Tb</w:t>
      </w:r>
      <w:r>
        <w:rPr>
          <w:lang w:val="en-US"/>
        </w:rPr>
        <w:tab/>
      </w:r>
      <w:r w:rsidRPr="00AB6CC1">
        <w:rPr>
          <w:lang w:val="en-US"/>
        </w:rPr>
        <w:sym w:font="Wingdings" w:char="F0E0"/>
      </w:r>
      <w:r>
        <w:rPr>
          <w:lang w:val="en-US"/>
        </w:rPr>
        <w:t xml:space="preserve"> execute </w:t>
      </w:r>
      <w:r w:rsidRPr="00AB6CC1">
        <w:rPr>
          <w:i/>
          <w:lang w:val="en-US"/>
        </w:rPr>
        <w:t>run.bat</w:t>
      </w:r>
      <w:r>
        <w:rPr>
          <w:lang w:val="en-US"/>
        </w:rPr>
        <w:t xml:space="preserve"> to generate the test-bench</w:t>
      </w:r>
    </w:p>
    <w:p w:rsidR="00743221" w:rsidRPr="00743221" w:rsidRDefault="00743221" w:rsidP="00743221">
      <w:pPr>
        <w:rPr>
          <w:lang w:val="en-US"/>
        </w:rPr>
      </w:pPr>
    </w:p>
    <w:p w:rsidR="005717F8" w:rsidRDefault="005717F8" w:rsidP="00AB6CC1">
      <w:pPr>
        <w:pStyle w:val="Heading1"/>
        <w:pageBreakBefore/>
        <w:ind w:left="431" w:hanging="431"/>
        <w:rPr>
          <w:lang w:val="en-US"/>
        </w:rPr>
      </w:pPr>
      <w:bookmarkStart w:id="3" w:name="_Ref514844465"/>
      <w:bookmarkStart w:id="4" w:name="_Toc514846135"/>
      <w:r>
        <w:rPr>
          <w:lang w:val="en-US"/>
        </w:rPr>
        <w:lastRenderedPageBreak/>
        <w:t>Command Line Interface</w:t>
      </w:r>
      <w:bookmarkEnd w:id="3"/>
      <w:bookmarkEnd w:id="4"/>
    </w:p>
    <w:p w:rsidR="00E65A5E" w:rsidRPr="00E65A5E" w:rsidRDefault="00E65A5E" w:rsidP="00E65A5E">
      <w:pPr>
        <w:pStyle w:val="Heading2"/>
        <w:rPr>
          <w:lang w:val="en-US"/>
        </w:rPr>
      </w:pPr>
      <w:bookmarkStart w:id="5" w:name="_Toc514846136"/>
      <w:r>
        <w:rPr>
          <w:lang w:val="en-US"/>
        </w:rPr>
        <w:t>Introduction</w:t>
      </w:r>
      <w:bookmarkEnd w:id="5"/>
    </w:p>
    <w:p w:rsidR="00AB6CC1" w:rsidRDefault="00AB6CC1" w:rsidP="00AB6CC1">
      <w:pPr>
        <w:rPr>
          <w:lang w:val="en-US"/>
        </w:rPr>
      </w:pPr>
      <w:r>
        <w:rPr>
          <w:lang w:val="en-US"/>
        </w:rPr>
        <w:t>The tool is written in python, so it is executed as python script.</w:t>
      </w:r>
      <w:r w:rsidR="00E65A5E">
        <w:rPr>
          <w:lang w:val="en-US"/>
        </w:rPr>
        <w:t xml:space="preserve"> Note that below the Windows syntax is given (“py”). For Linux, replace “py” with “python3”.</w:t>
      </w:r>
    </w:p>
    <w:p w:rsidR="00E65A5E" w:rsidRDefault="00E65A5E" w:rsidP="00E65A5E">
      <w:pPr>
        <w:rPr>
          <w:lang w:val="en-US"/>
        </w:rPr>
      </w:pPr>
      <w:r>
        <w:rPr>
          <w:lang w:val="en-US"/>
        </w:rPr>
        <w:t>The command syntax is given below:</w:t>
      </w:r>
    </w:p>
    <w:p w:rsidR="00E65A5E" w:rsidRPr="00EC752F" w:rsidRDefault="00E65A5E" w:rsidP="00E65A5E">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py TbGen.py [-h] –src SRC –dst DST [-clear] [-mrg] [-force]</w:t>
      </w:r>
    </w:p>
    <w:p w:rsidR="00E65A5E" w:rsidRDefault="00E65A5E" w:rsidP="00E65A5E">
      <w:pPr>
        <w:pStyle w:val="Heading2"/>
        <w:rPr>
          <w:lang w:val="en-US"/>
        </w:rPr>
      </w:pPr>
      <w:bookmarkStart w:id="6" w:name="_Toc514846137"/>
      <w:r>
        <w:rPr>
          <w:lang w:val="en-US"/>
        </w:rPr>
        <w:t>Arguments</w:t>
      </w:r>
      <w:bookmarkEnd w:id="6"/>
    </w:p>
    <w:p w:rsidR="00E65A5E" w:rsidRDefault="00E65A5E" w:rsidP="00E65A5E">
      <w:pPr>
        <w:pStyle w:val="Heading3"/>
        <w:rPr>
          <w:lang w:val="en-US"/>
        </w:rPr>
      </w:pPr>
      <w:r>
        <w:rPr>
          <w:lang w:val="en-US"/>
        </w:rPr>
        <w:t>Help (-h)</w:t>
      </w:r>
    </w:p>
    <w:p w:rsidR="00E65A5E" w:rsidRDefault="00E65A5E" w:rsidP="00E65A5E">
      <w:pPr>
        <w:rPr>
          <w:lang w:val="en-US"/>
        </w:rPr>
      </w:pPr>
      <w:r>
        <w:rPr>
          <w:lang w:val="en-US"/>
        </w:rPr>
        <w:t>This argument prints out the help text for the CLI that describes all arguments.</w:t>
      </w:r>
    </w:p>
    <w:p w:rsidR="00E65A5E" w:rsidRDefault="00E65A5E" w:rsidP="00E65A5E">
      <w:pPr>
        <w:pStyle w:val="Heading3"/>
        <w:rPr>
          <w:lang w:val="en-US"/>
        </w:rPr>
      </w:pPr>
      <w:r>
        <w:rPr>
          <w:lang w:val="en-US"/>
        </w:rPr>
        <w:t>Source File (-src)</w:t>
      </w:r>
    </w:p>
    <w:p w:rsidR="00E65A5E" w:rsidRDefault="00E65A5E" w:rsidP="00E65A5E">
      <w:pPr>
        <w:rPr>
          <w:lang w:val="en-US"/>
        </w:rPr>
      </w:pPr>
      <w:r>
        <w:rPr>
          <w:lang w:val="en-US"/>
        </w:rPr>
        <w:t xml:space="preserve">This argument is required and is the path to the file containing the VHDL entity to be parsed. </w:t>
      </w:r>
    </w:p>
    <w:p w:rsidR="00E65A5E" w:rsidRDefault="00E65A5E" w:rsidP="00E65A5E">
      <w:pPr>
        <w:pStyle w:val="Heading3"/>
        <w:rPr>
          <w:lang w:val="en-US"/>
        </w:rPr>
      </w:pPr>
      <w:r>
        <w:rPr>
          <w:lang w:val="en-US"/>
        </w:rPr>
        <w:t>Destination Folder (-dst)</w:t>
      </w:r>
    </w:p>
    <w:p w:rsidR="00E65A5E" w:rsidRDefault="00E65A5E" w:rsidP="00E65A5E">
      <w:pPr>
        <w:rPr>
          <w:lang w:val="en-US"/>
        </w:rPr>
      </w:pPr>
      <w:r>
        <w:rPr>
          <w:lang w:val="en-US"/>
        </w:rPr>
        <w:t xml:space="preserve">This argument is required and contains the path to the folder to place the test-bench in. If the folder does not exist already, it is created. </w:t>
      </w:r>
    </w:p>
    <w:p w:rsidR="00E65A5E" w:rsidRDefault="00E65A5E" w:rsidP="00E65A5E">
      <w:pPr>
        <w:pStyle w:val="Heading3"/>
        <w:rPr>
          <w:lang w:val="en-US"/>
        </w:rPr>
      </w:pPr>
      <w:r>
        <w:rPr>
          <w:lang w:val="en-US"/>
        </w:rPr>
        <w:t>Clear Destination Folder (-clear)</w:t>
      </w:r>
    </w:p>
    <w:p w:rsidR="00E65A5E" w:rsidRDefault="00E65A5E" w:rsidP="00E65A5E">
      <w:pPr>
        <w:rPr>
          <w:lang w:val="en-US"/>
        </w:rPr>
      </w:pPr>
      <w:r>
        <w:rPr>
          <w:lang w:val="en-US"/>
        </w:rPr>
        <w:t>If this argument is passed, the destination folder is cleared prior to generating the test-bench. “Cleared” means that all files in the folder are deleted (all files, not only .vhd files!). Folders are not deleted since they may contain scripts or stimuli data.</w:t>
      </w:r>
    </w:p>
    <w:p w:rsidR="00E65A5E" w:rsidRDefault="00E65A5E" w:rsidP="00E65A5E">
      <w:pPr>
        <w:rPr>
          <w:lang w:val="en-US"/>
        </w:rPr>
      </w:pPr>
      <w:r>
        <w:rPr>
          <w:lang w:val="en-US"/>
        </w:rPr>
        <w:t xml:space="preserve">If the destination folder already contains a test-bench, this argument must be passed. Otherwise errors are thrown since </w:t>
      </w:r>
      <w:r w:rsidRPr="00E65A5E">
        <w:rPr>
          <w:i/>
          <w:lang w:val="en-US"/>
        </w:rPr>
        <w:t>TbGenerator</w:t>
      </w:r>
      <w:r>
        <w:rPr>
          <w:lang w:val="en-US"/>
        </w:rPr>
        <w:t xml:space="preserve"> by default does not overwrite any existing fails to prevent loss of work because of accidental test-bench generator</w:t>
      </w:r>
    </w:p>
    <w:p w:rsidR="00FA52F1" w:rsidRPr="00FA52F1" w:rsidRDefault="00FA52F1" w:rsidP="00E65A5E">
      <w:pPr>
        <w:rPr>
          <w:lang w:val="en-US"/>
        </w:rPr>
      </w:pPr>
      <w:r>
        <w:rPr>
          <w:lang w:val="en-US"/>
        </w:rPr>
        <w:t xml:space="preserve">By default </w:t>
      </w:r>
      <w:r>
        <w:rPr>
          <w:i/>
          <w:lang w:val="en-US"/>
        </w:rPr>
        <w:t>TbGenerator</w:t>
      </w:r>
      <w:r>
        <w:rPr>
          <w:lang w:val="en-US"/>
        </w:rPr>
        <w:t xml:space="preserve"> asks whether it should really clear the directory if files are present. If this behavior is not required, the </w:t>
      </w:r>
      <w:r>
        <w:rPr>
          <w:i/>
          <w:lang w:val="en-US"/>
        </w:rPr>
        <w:t>–force</w:t>
      </w:r>
      <w:r>
        <w:rPr>
          <w:lang w:val="en-US"/>
        </w:rPr>
        <w:t xml:space="preserve"> option must be used.</w:t>
      </w:r>
    </w:p>
    <w:p w:rsidR="00E65A5E" w:rsidRDefault="00E65A5E" w:rsidP="00E65A5E">
      <w:pPr>
        <w:pStyle w:val="Heading3"/>
        <w:rPr>
          <w:lang w:val="en-US"/>
        </w:rPr>
      </w:pPr>
      <w:r>
        <w:rPr>
          <w:lang w:val="en-US"/>
        </w:rPr>
        <w:t>Create Merge Files (-mrg)</w:t>
      </w:r>
    </w:p>
    <w:p w:rsidR="00E65A5E" w:rsidRDefault="00E65A5E" w:rsidP="00E65A5E">
      <w:pPr>
        <w:rPr>
          <w:lang w:val="en-US"/>
        </w:rPr>
      </w:pPr>
      <w:r>
        <w:rPr>
          <w:lang w:val="en-US"/>
        </w:rPr>
        <w:t>If this flag is passed, all generated files have the ending .mrg instead of .vhd. This allows to easily merge changes into an existing (and manually edited) test-bench using a 3</w:t>
      </w:r>
      <w:r w:rsidRPr="00E65A5E">
        <w:rPr>
          <w:vertAlign w:val="superscript"/>
          <w:lang w:val="en-US"/>
        </w:rPr>
        <w:t>rd</w:t>
      </w:r>
      <w:r>
        <w:rPr>
          <w:lang w:val="en-US"/>
        </w:rPr>
        <w:t xml:space="preserve"> party merging tool (e.g. WinMerge). </w:t>
      </w:r>
    </w:p>
    <w:p w:rsidR="00E65A5E" w:rsidRDefault="00E65A5E" w:rsidP="00E65A5E">
      <w:pPr>
        <w:rPr>
          <w:lang w:val="en-US"/>
        </w:rPr>
      </w:pPr>
      <w:r>
        <w:rPr>
          <w:lang w:val="en-US"/>
        </w:rPr>
        <w:t>Note that .mrg files are overwritten if they already exist since it is assumed that they are never edited manually and are used temporary for merging into the .vhd files only.</w:t>
      </w:r>
    </w:p>
    <w:p w:rsidR="00E65A5E" w:rsidRDefault="00E65A5E" w:rsidP="00E65A5E">
      <w:pPr>
        <w:pStyle w:val="Heading3"/>
        <w:rPr>
          <w:lang w:val="en-US"/>
        </w:rPr>
      </w:pPr>
      <w:r>
        <w:rPr>
          <w:lang w:val="en-US"/>
        </w:rPr>
        <w:t>Force Clearing of the Destination Folder (-force)</w:t>
      </w:r>
    </w:p>
    <w:p w:rsidR="00AB6CC1" w:rsidRPr="00AB6CC1" w:rsidRDefault="00FA52F1" w:rsidP="00AB6CC1">
      <w:pPr>
        <w:rPr>
          <w:lang w:val="en-US"/>
        </w:rPr>
      </w:pPr>
      <w:r>
        <w:rPr>
          <w:lang w:val="en-US"/>
        </w:rPr>
        <w:t xml:space="preserve">This flag prevents </w:t>
      </w:r>
      <w:r>
        <w:rPr>
          <w:i/>
          <w:lang w:val="en-US"/>
        </w:rPr>
        <w:t xml:space="preserve">–clear </w:t>
      </w:r>
      <w:r>
        <w:rPr>
          <w:lang w:val="en-US"/>
        </w:rPr>
        <w:t>from asking whether existing files should really be deleted.</w:t>
      </w:r>
    </w:p>
    <w:p w:rsidR="00AB6CC1" w:rsidRPr="00AB6CC1" w:rsidRDefault="00AB6CC1" w:rsidP="00AB6CC1">
      <w:pPr>
        <w:rPr>
          <w:lang w:val="en-US"/>
        </w:rPr>
      </w:pPr>
    </w:p>
    <w:p w:rsidR="005717F8" w:rsidRDefault="005717F8" w:rsidP="005717F8">
      <w:pPr>
        <w:pStyle w:val="Heading1"/>
        <w:rPr>
          <w:lang w:val="en-US"/>
        </w:rPr>
      </w:pPr>
      <w:bookmarkStart w:id="7" w:name="_Toc514846138"/>
      <w:r>
        <w:rPr>
          <w:lang w:val="en-US"/>
        </w:rPr>
        <w:lastRenderedPageBreak/>
        <w:t>Graphical User Interface</w:t>
      </w:r>
      <w:bookmarkEnd w:id="7"/>
    </w:p>
    <w:p w:rsidR="00A80C57" w:rsidRDefault="00A80C57" w:rsidP="00A80C57">
      <w:pPr>
        <w:rPr>
          <w:lang w:val="en-US"/>
        </w:rPr>
      </w:pPr>
      <w:r>
        <w:rPr>
          <w:lang w:val="en-US"/>
        </w:rPr>
        <w:t xml:space="preserve">For running the GUI, the file </w:t>
      </w:r>
      <w:r>
        <w:rPr>
          <w:i/>
          <w:lang w:val="en-US"/>
        </w:rPr>
        <w:t>TbGenGui.pyw</w:t>
      </w:r>
      <w:r>
        <w:rPr>
          <w:lang w:val="en-US"/>
        </w:rPr>
        <w:t xml:space="preserve"> must be executed. The operating system should automatically launch it in python correctly.</w:t>
      </w:r>
    </w:p>
    <w:p w:rsidR="00A80C57" w:rsidRDefault="00A80C57" w:rsidP="00A80C57">
      <w:pPr>
        <w:rPr>
          <w:lang w:val="en-US"/>
        </w:rPr>
      </w:pPr>
      <w:r>
        <w:rPr>
          <w:noProof/>
          <w:lang w:eastAsia="de-CH"/>
        </w:rPr>
        <w:drawing>
          <wp:inline distT="0" distB="0" distL="0" distR="0" wp14:anchorId="72428193" wp14:editId="7C71D53E">
            <wp:extent cx="2533650" cy="238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33650" cy="2381250"/>
                    </a:xfrm>
                    <a:prstGeom prst="rect">
                      <a:avLst/>
                    </a:prstGeom>
                  </pic:spPr>
                </pic:pic>
              </a:graphicData>
            </a:graphic>
          </wp:inline>
        </w:drawing>
      </w:r>
    </w:p>
    <w:p w:rsidR="00A80C57" w:rsidRPr="00A80C57" w:rsidRDefault="00A80C57" w:rsidP="00A80C57">
      <w:pPr>
        <w:rPr>
          <w:lang w:val="en-US"/>
        </w:rPr>
      </w:pPr>
      <w:r>
        <w:rPr>
          <w:lang w:val="en-US"/>
        </w:rPr>
        <w:t xml:space="preserve">The GUI contains the same options as the command line interface, so please refer to </w:t>
      </w:r>
      <w:r>
        <w:rPr>
          <w:lang w:val="en-US"/>
        </w:rPr>
        <w:fldChar w:fldCharType="begin"/>
      </w:r>
      <w:r>
        <w:rPr>
          <w:lang w:val="en-US"/>
        </w:rPr>
        <w:instrText xml:space="preserve"> REF _Ref514844465 \r \h </w:instrText>
      </w:r>
      <w:r>
        <w:rPr>
          <w:lang w:val="en-US"/>
        </w:rPr>
      </w:r>
      <w:r>
        <w:rPr>
          <w:lang w:val="en-US"/>
        </w:rPr>
        <w:fldChar w:fldCharType="separate"/>
      </w:r>
      <w:r w:rsidR="00262D4D">
        <w:rPr>
          <w:lang w:val="en-US"/>
        </w:rPr>
        <w:t>2</w:t>
      </w:r>
      <w:r>
        <w:rPr>
          <w:lang w:val="en-US"/>
        </w:rPr>
        <w:fldChar w:fldCharType="end"/>
      </w:r>
      <w:r>
        <w:rPr>
          <w:lang w:val="en-US"/>
        </w:rPr>
        <w:t xml:space="preserve"> for details.</w:t>
      </w:r>
    </w:p>
    <w:p w:rsidR="005717F8" w:rsidRDefault="005717F8" w:rsidP="005717F8">
      <w:pPr>
        <w:pStyle w:val="Heading1"/>
        <w:rPr>
          <w:lang w:val="en-US"/>
        </w:rPr>
      </w:pPr>
      <w:bookmarkStart w:id="8" w:name="_Ref514843335"/>
      <w:bookmarkStart w:id="9" w:name="_Toc514846139"/>
      <w:r>
        <w:rPr>
          <w:lang w:val="en-US"/>
        </w:rPr>
        <w:t>VHDL Tags</w:t>
      </w:r>
      <w:bookmarkEnd w:id="8"/>
      <w:bookmarkEnd w:id="9"/>
    </w:p>
    <w:p w:rsidR="00A80C57" w:rsidRPr="00A80C57" w:rsidRDefault="00A80C57" w:rsidP="00A80C57">
      <w:pPr>
        <w:rPr>
          <w:lang w:val="en-US"/>
        </w:rPr>
      </w:pPr>
      <w:r>
        <w:rPr>
          <w:lang w:val="en-US"/>
        </w:rPr>
        <w:t xml:space="preserve">Information that is not visible from the VHDL alone needs to be passed to </w:t>
      </w:r>
      <w:r>
        <w:rPr>
          <w:i/>
          <w:lang w:val="en-US"/>
        </w:rPr>
        <w:t>TbGenerator</w:t>
      </w:r>
      <w:r>
        <w:rPr>
          <w:lang w:val="en-US"/>
        </w:rPr>
        <w:t xml:space="preserve"> using tags that are placed as comments within the VHDL file.</w:t>
      </w:r>
    </w:p>
    <w:p w:rsidR="005717F8" w:rsidRDefault="005717F8" w:rsidP="005717F8">
      <w:pPr>
        <w:pStyle w:val="Heading2"/>
        <w:rPr>
          <w:lang w:val="en-US"/>
        </w:rPr>
      </w:pPr>
      <w:bookmarkStart w:id="10" w:name="_Toc514846140"/>
      <w:r>
        <w:rPr>
          <w:lang w:val="en-US"/>
        </w:rPr>
        <w:t>Syntax</w:t>
      </w:r>
      <w:bookmarkEnd w:id="10"/>
    </w:p>
    <w:p w:rsidR="00A80C57" w:rsidRDefault="00A80C57" w:rsidP="00A80C57">
      <w:pPr>
        <w:rPr>
          <w:lang w:val="en-US"/>
        </w:rPr>
      </w:pPr>
      <w:r>
        <w:rPr>
          <w:lang w:val="en-US"/>
        </w:rPr>
        <w:t>Tags can be placed anywhere in VHDL comments (also before or after other text). Tags always stand between “$$” signs. Each tag has a name and is assigned a value in the form “&lt;name&gt;=&lt;value&gt;”.</w:t>
      </w:r>
    </w:p>
    <w:p w:rsidR="00A80C57" w:rsidRDefault="00A80C57" w:rsidP="00A80C57">
      <w:pPr>
        <w:rPr>
          <w:lang w:val="en-US"/>
        </w:rPr>
      </w:pPr>
      <w:r>
        <w:rPr>
          <w:lang w:val="en-US"/>
        </w:rPr>
        <w:t>Single VHDL tags can look like this:</w:t>
      </w:r>
    </w:p>
    <w:p w:rsidR="00A80C57" w:rsidRPr="00EC752F" w:rsidRDefault="00A80C57" w:rsidP="00A80C57">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 xml:space="preserve">-- Some comment text     </w:t>
      </w:r>
      <w:r w:rsidRPr="00A80C57">
        <w:rPr>
          <w:rFonts w:ascii="Courier New" w:hAnsi="Courier New" w:cs="Courier New"/>
          <w:b/>
          <w:i/>
          <w:sz w:val="20"/>
          <w:lang w:val="en-US"/>
        </w:rPr>
        <w:t>$$ dutlib=psi_lib $$</w:t>
      </w:r>
      <w:r>
        <w:rPr>
          <w:rFonts w:ascii="Courier New" w:hAnsi="Courier New" w:cs="Courier New"/>
          <w:sz w:val="20"/>
          <w:lang w:val="en-US"/>
        </w:rPr>
        <w:br/>
        <w:t xml:space="preserve">SomePort : in std_logic; -- </w:t>
      </w:r>
      <w:r w:rsidRPr="00A80C57">
        <w:rPr>
          <w:rFonts w:ascii="Courier New" w:hAnsi="Courier New" w:cs="Courier New"/>
          <w:b/>
          <w:i/>
          <w:sz w:val="20"/>
          <w:lang w:val="en-US"/>
        </w:rPr>
        <w:t xml:space="preserve">$$ </w:t>
      </w:r>
      <w:r>
        <w:rPr>
          <w:rFonts w:ascii="Courier New" w:hAnsi="Courier New" w:cs="Courier New"/>
          <w:b/>
          <w:i/>
          <w:sz w:val="20"/>
          <w:lang w:val="en-US"/>
        </w:rPr>
        <w:t>type=rst</w:t>
      </w:r>
      <w:r w:rsidRPr="00A80C57">
        <w:rPr>
          <w:rFonts w:ascii="Courier New" w:hAnsi="Courier New" w:cs="Courier New"/>
          <w:b/>
          <w:i/>
          <w:sz w:val="20"/>
          <w:lang w:val="en-US"/>
        </w:rPr>
        <w:t xml:space="preserve"> $$</w:t>
      </w:r>
    </w:p>
    <w:p w:rsidR="00A80C57" w:rsidRDefault="00A80C57" w:rsidP="00A80C57">
      <w:pPr>
        <w:rPr>
          <w:lang w:val="en-US"/>
        </w:rPr>
      </w:pPr>
      <w:r>
        <w:rPr>
          <w:lang w:val="en-US"/>
        </w:rPr>
        <w:t>Multiple tags can be separted using “;”:</w:t>
      </w:r>
    </w:p>
    <w:p w:rsidR="00A80C57" w:rsidRDefault="00A80C57" w:rsidP="00A80C57">
      <w:pPr>
        <w:shd w:val="clear" w:color="auto" w:fill="D9D9D9" w:themeFill="background1" w:themeFillShade="D9"/>
        <w:spacing w:before="240" w:after="240"/>
        <w:jc w:val="left"/>
        <w:rPr>
          <w:rFonts w:ascii="Courier New" w:hAnsi="Courier New" w:cs="Courier New"/>
          <w:b/>
          <w:i/>
          <w:sz w:val="20"/>
          <w:lang w:val="en-US"/>
        </w:rPr>
      </w:pPr>
      <w:r>
        <w:rPr>
          <w:rFonts w:ascii="Courier New" w:hAnsi="Courier New" w:cs="Courier New"/>
          <w:sz w:val="20"/>
          <w:lang w:val="en-US"/>
        </w:rPr>
        <w:t xml:space="preserve">SomePort : in std_logic; </w:t>
      </w:r>
      <w:r w:rsidRPr="00A80C57">
        <w:rPr>
          <w:rFonts w:ascii="Courier New" w:hAnsi="Courier New" w:cs="Courier New"/>
          <w:b/>
          <w:i/>
          <w:sz w:val="20"/>
          <w:lang w:val="en-US"/>
        </w:rPr>
        <w:t>-- $$ type=rst; clk=ClkIn $$</w:t>
      </w:r>
    </w:p>
    <w:p w:rsidR="00A80C57" w:rsidRDefault="00A80C57" w:rsidP="00A80C57">
      <w:pPr>
        <w:rPr>
          <w:lang w:val="en-US"/>
        </w:rPr>
      </w:pPr>
      <w:r>
        <w:rPr>
          <w:lang w:val="en-US"/>
        </w:rPr>
        <w:t>Some tags not only take single values but also accept lists. Values of lists are separated using “,”:</w:t>
      </w:r>
    </w:p>
    <w:p w:rsidR="00A80C57" w:rsidRDefault="00A80C57" w:rsidP="00A80C57">
      <w:pPr>
        <w:shd w:val="clear" w:color="auto" w:fill="D9D9D9" w:themeFill="background1" w:themeFillShade="D9"/>
        <w:spacing w:before="240" w:after="240"/>
        <w:jc w:val="left"/>
        <w:rPr>
          <w:rFonts w:ascii="Courier New" w:hAnsi="Courier New" w:cs="Courier New"/>
          <w:b/>
          <w:i/>
          <w:sz w:val="20"/>
          <w:lang w:val="en-US"/>
        </w:rPr>
      </w:pPr>
      <w:r>
        <w:rPr>
          <w:rFonts w:ascii="Courier New" w:hAnsi="Courier New" w:cs="Courier New"/>
          <w:sz w:val="20"/>
          <w:lang w:val="en-US"/>
        </w:rPr>
        <w:t xml:space="preserve">SomePort : in std_logic; </w:t>
      </w:r>
      <w:r w:rsidRPr="00A80C57">
        <w:rPr>
          <w:rFonts w:ascii="Courier New" w:hAnsi="Courier New" w:cs="Courier New"/>
          <w:b/>
          <w:i/>
          <w:sz w:val="20"/>
          <w:lang w:val="en-US"/>
        </w:rPr>
        <w:t xml:space="preserve">-- $$ </w:t>
      </w:r>
      <w:r>
        <w:rPr>
          <w:rFonts w:ascii="Courier New" w:hAnsi="Courier New" w:cs="Courier New"/>
          <w:b/>
          <w:i/>
          <w:sz w:val="20"/>
          <w:lang w:val="en-US"/>
        </w:rPr>
        <w:t>proc=stimuli,response</w:t>
      </w:r>
      <w:r w:rsidRPr="00A80C57">
        <w:rPr>
          <w:rFonts w:ascii="Courier New" w:hAnsi="Courier New" w:cs="Courier New"/>
          <w:b/>
          <w:i/>
          <w:sz w:val="20"/>
          <w:lang w:val="en-US"/>
        </w:rPr>
        <w:t xml:space="preserve"> $$</w:t>
      </w:r>
    </w:p>
    <w:p w:rsidR="005717F8" w:rsidRDefault="005717F8" w:rsidP="009B65BA">
      <w:pPr>
        <w:pStyle w:val="Heading2"/>
        <w:pageBreakBefore/>
        <w:ind w:left="578" w:hanging="578"/>
        <w:rPr>
          <w:lang w:val="en-US"/>
        </w:rPr>
      </w:pPr>
      <w:bookmarkStart w:id="11" w:name="_Toc514846141"/>
      <w:r>
        <w:rPr>
          <w:lang w:val="en-US"/>
        </w:rPr>
        <w:lastRenderedPageBreak/>
        <w:t>Tag Descriptions</w:t>
      </w:r>
      <w:bookmarkEnd w:id="11"/>
    </w:p>
    <w:p w:rsidR="00A80C57" w:rsidRDefault="00A80C57" w:rsidP="00A80C57">
      <w:pPr>
        <w:pStyle w:val="Heading3"/>
        <w:rPr>
          <w:lang w:val="en-US"/>
        </w:rPr>
      </w:pPr>
      <w:r>
        <w:rPr>
          <w:lang w:val="en-US"/>
        </w:rPr>
        <w:t>File Scope Tags</w:t>
      </w:r>
    </w:p>
    <w:p w:rsidR="00A80C57" w:rsidRPr="00A80C57" w:rsidRDefault="00A80C57" w:rsidP="00A80C57">
      <w:pPr>
        <w:rPr>
          <w:lang w:val="en-US"/>
        </w:rPr>
      </w:pPr>
      <w:r>
        <w:rPr>
          <w:lang w:val="en-US"/>
        </w:rPr>
        <w:t>These tags are not related to specific VHDL elements and can be placed as pure comment-lines anywhere before the entity declaration.</w:t>
      </w:r>
    </w:p>
    <w:p w:rsidR="00A80C57" w:rsidRDefault="00A80C57" w:rsidP="00A80C57">
      <w:pPr>
        <w:pStyle w:val="Heading4"/>
        <w:rPr>
          <w:lang w:val="en-US"/>
        </w:rPr>
      </w:pPr>
      <w:r>
        <w:rPr>
          <w:lang w:val="en-US"/>
        </w:rPr>
        <w:t>PROCESSES</w:t>
      </w:r>
    </w:p>
    <w:p w:rsidR="00A80C57" w:rsidRDefault="00A80C57" w:rsidP="00A80C57">
      <w:pPr>
        <w:rPr>
          <w:b/>
          <w:lang w:val="en-US"/>
        </w:rPr>
      </w:pPr>
      <w:r>
        <w:rPr>
          <w:b/>
          <w:lang w:val="en-US"/>
        </w:rPr>
        <w:t>Purpose</w:t>
      </w:r>
    </w:p>
    <w:p w:rsidR="00A80C57" w:rsidRDefault="00A80C57" w:rsidP="00A80C57">
      <w:pPr>
        <w:rPr>
          <w:lang w:val="en-US"/>
        </w:rPr>
      </w:pPr>
      <w:r>
        <w:rPr>
          <w:lang w:val="en-US"/>
        </w:rPr>
        <w:t xml:space="preserve">This tag defines how many independent processes are required for the test-bench and what their names are. </w:t>
      </w:r>
    </w:p>
    <w:p w:rsidR="00A80C57" w:rsidRDefault="00A80C57" w:rsidP="00A80C57">
      <w:pPr>
        <w:rPr>
          <w:b/>
          <w:lang w:val="en-US"/>
        </w:rPr>
      </w:pPr>
      <w:r>
        <w:rPr>
          <w:b/>
          <w:lang w:val="en-US"/>
        </w:rPr>
        <w:t>Optional</w:t>
      </w:r>
    </w:p>
    <w:p w:rsidR="00A80C57" w:rsidRDefault="00A80C57" w:rsidP="00A80C57">
      <w:pPr>
        <w:overflowPunct/>
        <w:autoSpaceDE/>
        <w:autoSpaceDN/>
        <w:adjustRightInd/>
        <w:spacing w:after="200" w:line="276" w:lineRule="auto"/>
        <w:jc w:val="left"/>
        <w:textAlignment w:val="auto"/>
        <w:rPr>
          <w:lang w:val="en-US"/>
        </w:rPr>
      </w:pPr>
      <w:r>
        <w:rPr>
          <w:lang w:val="en-US"/>
        </w:rPr>
        <w:t>Yes, by default only one process named “stimuli” is generated.</w:t>
      </w:r>
    </w:p>
    <w:p w:rsidR="00A80C57" w:rsidRDefault="00A80C57" w:rsidP="00A80C57">
      <w:pPr>
        <w:overflowPunct/>
        <w:autoSpaceDE/>
        <w:autoSpaceDN/>
        <w:adjustRightInd/>
        <w:spacing w:after="200" w:line="276" w:lineRule="auto"/>
        <w:jc w:val="left"/>
        <w:textAlignment w:val="auto"/>
        <w:rPr>
          <w:b/>
          <w:lang w:val="en-US"/>
        </w:rPr>
      </w:pPr>
      <w:r>
        <w:rPr>
          <w:b/>
          <w:lang w:val="en-US"/>
        </w:rPr>
        <w:t>Example</w:t>
      </w:r>
    </w:p>
    <w:p w:rsidR="00A80C57" w:rsidRDefault="00A80C57" w:rsidP="00A80C57">
      <w:pPr>
        <w:shd w:val="clear" w:color="auto" w:fill="D9D9D9" w:themeFill="background1" w:themeFillShade="D9"/>
        <w:spacing w:before="240" w:after="240"/>
        <w:jc w:val="left"/>
        <w:rPr>
          <w:rFonts w:ascii="Courier New" w:hAnsi="Courier New" w:cs="Courier New"/>
          <w:b/>
          <w:i/>
          <w:sz w:val="20"/>
          <w:lang w:val="en-US"/>
        </w:rPr>
      </w:pPr>
      <w:r>
        <w:rPr>
          <w:lang w:val="en-US"/>
        </w:rPr>
        <w:t>-- $$ processes=config,input,output $$</w:t>
      </w:r>
    </w:p>
    <w:p w:rsidR="009B65BA" w:rsidRDefault="009B65BA" w:rsidP="009B65BA">
      <w:pPr>
        <w:pStyle w:val="Heading4"/>
        <w:rPr>
          <w:lang w:val="en-US"/>
        </w:rPr>
      </w:pPr>
      <w:bookmarkStart w:id="12" w:name="_Ref514845184"/>
      <w:r>
        <w:rPr>
          <w:lang w:val="en-US"/>
        </w:rPr>
        <w:t>TESTCASES</w:t>
      </w:r>
      <w:bookmarkEnd w:id="12"/>
    </w:p>
    <w:p w:rsidR="009B65BA" w:rsidRDefault="009B65BA" w:rsidP="009B65BA">
      <w:pPr>
        <w:rPr>
          <w:b/>
          <w:lang w:val="en-US"/>
        </w:rPr>
      </w:pPr>
      <w:r>
        <w:rPr>
          <w:b/>
          <w:lang w:val="en-US"/>
        </w:rPr>
        <w:t>Purpose</w:t>
      </w:r>
    </w:p>
    <w:p w:rsidR="009B65BA" w:rsidRDefault="009B65BA" w:rsidP="009B65BA">
      <w:pPr>
        <w:rPr>
          <w:lang w:val="en-US"/>
        </w:rPr>
      </w:pPr>
      <w:r>
        <w:rPr>
          <w:lang w:val="en-US"/>
        </w:rPr>
        <w:t>This tag defines how many independent test-cases are required for the test-bench and what their names are. This tag also decides whether a single test-case test-bench is generated (if the tag is not given) or a multi-case test-bench is generated (if the tag is given).</w:t>
      </w:r>
    </w:p>
    <w:p w:rsidR="009B65BA" w:rsidRDefault="009B65BA" w:rsidP="009B65BA">
      <w:pPr>
        <w:rPr>
          <w:b/>
          <w:lang w:val="en-US"/>
        </w:rPr>
      </w:pPr>
      <w:r>
        <w:rPr>
          <w:b/>
          <w:lang w:val="en-US"/>
        </w:rPr>
        <w:t>Optional</w:t>
      </w:r>
    </w:p>
    <w:p w:rsidR="009B65BA" w:rsidRDefault="009B65BA" w:rsidP="009B65BA">
      <w:pPr>
        <w:overflowPunct/>
        <w:autoSpaceDE/>
        <w:autoSpaceDN/>
        <w:adjustRightInd/>
        <w:spacing w:after="200" w:line="276" w:lineRule="auto"/>
        <w:jc w:val="left"/>
        <w:textAlignment w:val="auto"/>
        <w:rPr>
          <w:lang w:val="en-US"/>
        </w:rPr>
      </w:pPr>
      <w:r>
        <w:rPr>
          <w:lang w:val="en-US"/>
        </w:rPr>
        <w:t>Yes, by default a single file test-bench is generated.</w:t>
      </w:r>
    </w:p>
    <w:p w:rsidR="009B65BA" w:rsidRDefault="009B65BA" w:rsidP="009B65BA">
      <w:pPr>
        <w:overflowPunct/>
        <w:autoSpaceDE/>
        <w:autoSpaceDN/>
        <w:adjustRightInd/>
        <w:spacing w:after="200" w:line="276" w:lineRule="auto"/>
        <w:jc w:val="left"/>
        <w:textAlignment w:val="auto"/>
        <w:rPr>
          <w:b/>
          <w:lang w:val="en-US"/>
        </w:rPr>
      </w:pPr>
      <w:r>
        <w:rPr>
          <w:b/>
          <w:lang w:val="en-US"/>
        </w:rPr>
        <w:t>Example</w:t>
      </w:r>
    </w:p>
    <w:p w:rsidR="009B65BA" w:rsidRDefault="009B65BA" w:rsidP="009B65BA">
      <w:pPr>
        <w:shd w:val="clear" w:color="auto" w:fill="D9D9D9" w:themeFill="background1" w:themeFillShade="D9"/>
        <w:spacing w:before="240" w:after="240"/>
        <w:jc w:val="left"/>
        <w:rPr>
          <w:rFonts w:ascii="Courier New" w:hAnsi="Courier New" w:cs="Courier New"/>
          <w:b/>
          <w:i/>
          <w:sz w:val="20"/>
          <w:lang w:val="en-US"/>
        </w:rPr>
      </w:pPr>
      <w:r>
        <w:rPr>
          <w:lang w:val="en-US"/>
        </w:rPr>
        <w:t>-- $$ testcases=normalOp,overflow,underflow $$</w:t>
      </w:r>
    </w:p>
    <w:p w:rsidR="009B65BA" w:rsidRDefault="009B65BA" w:rsidP="009B65BA">
      <w:pPr>
        <w:pStyle w:val="Heading4"/>
        <w:rPr>
          <w:lang w:val="en-US"/>
        </w:rPr>
      </w:pPr>
      <w:r>
        <w:rPr>
          <w:lang w:val="en-US"/>
        </w:rPr>
        <w:t>DUTLIB</w:t>
      </w:r>
    </w:p>
    <w:p w:rsidR="009B65BA" w:rsidRDefault="009B65BA" w:rsidP="009B65BA">
      <w:pPr>
        <w:rPr>
          <w:b/>
          <w:lang w:val="en-US"/>
        </w:rPr>
      </w:pPr>
      <w:r>
        <w:rPr>
          <w:b/>
          <w:lang w:val="en-US"/>
        </w:rPr>
        <w:t>Purpose</w:t>
      </w:r>
    </w:p>
    <w:p w:rsidR="009B65BA" w:rsidRDefault="009B65BA" w:rsidP="009B65BA">
      <w:pPr>
        <w:rPr>
          <w:lang w:val="en-US"/>
        </w:rPr>
      </w:pPr>
      <w:r>
        <w:rPr>
          <w:lang w:val="en-US"/>
        </w:rPr>
        <w:t xml:space="preserve">This tag can be used to explicitly specify to which VHDL library the DUT belongs. </w:t>
      </w:r>
      <w:r w:rsidR="00E9292A">
        <w:rPr>
          <w:lang w:val="en-US"/>
        </w:rPr>
        <w:t xml:space="preserve">This is required whenever the </w:t>
      </w:r>
      <w:r w:rsidR="00E9292A">
        <w:rPr>
          <w:lang w:val="en-US"/>
        </w:rPr>
        <w:t>DUT</w:t>
      </w:r>
      <w:r w:rsidR="00E9292A">
        <w:rPr>
          <w:lang w:val="en-US"/>
        </w:rPr>
        <w:t xml:space="preserve"> should not be compiled into a specific library instead of the default “work” library</w:t>
      </w:r>
      <w:r w:rsidR="00EB3B42">
        <w:rPr>
          <w:lang w:val="en-US"/>
        </w:rPr>
        <w:t>,</w:t>
      </w:r>
      <w:r w:rsidR="00A76F70">
        <w:rPr>
          <w:lang w:val="en-US"/>
        </w:rPr>
        <w:t xml:space="preserve"> which is </w:t>
      </w:r>
      <w:r w:rsidR="00E9292A">
        <w:rPr>
          <w:lang w:val="en-US"/>
        </w:rPr>
        <w:t xml:space="preserve">usually </w:t>
      </w:r>
      <w:r w:rsidR="00A76F70">
        <w:rPr>
          <w:lang w:val="en-US"/>
        </w:rPr>
        <w:t>the case</w:t>
      </w:r>
      <w:r>
        <w:rPr>
          <w:lang w:val="en-US"/>
        </w:rPr>
        <w:t xml:space="preserve"> </w:t>
      </w:r>
      <w:r w:rsidR="00EE32D5">
        <w:rPr>
          <w:lang w:val="en-US"/>
        </w:rPr>
        <w:t>if</w:t>
      </w:r>
      <w:r>
        <w:rPr>
          <w:lang w:val="en-US"/>
        </w:rPr>
        <w:t xml:space="preserve"> the test-bench</w:t>
      </w:r>
      <w:r w:rsidR="00A76F70">
        <w:rPr>
          <w:lang w:val="en-US"/>
        </w:rPr>
        <w:t xml:space="preserve"> and </w:t>
      </w:r>
      <w:r w:rsidR="00A76F70">
        <w:rPr>
          <w:lang w:val="en-US"/>
        </w:rPr>
        <w:t>DUT</w:t>
      </w:r>
      <w:r>
        <w:rPr>
          <w:lang w:val="en-US"/>
        </w:rPr>
        <w:t xml:space="preserve"> </w:t>
      </w:r>
      <w:r w:rsidR="00707B88">
        <w:rPr>
          <w:lang w:val="en-US"/>
        </w:rPr>
        <w:t>are meant</w:t>
      </w:r>
      <w:r>
        <w:rPr>
          <w:lang w:val="en-US"/>
        </w:rPr>
        <w:t xml:space="preserve"> </w:t>
      </w:r>
      <w:r w:rsidR="00E9292A">
        <w:rPr>
          <w:lang w:val="en-US"/>
        </w:rPr>
        <w:t xml:space="preserve">be </w:t>
      </w:r>
      <w:r>
        <w:rPr>
          <w:lang w:val="en-US"/>
        </w:rPr>
        <w:t xml:space="preserve">compiled into </w:t>
      </w:r>
      <w:r w:rsidR="00707B88">
        <w:rPr>
          <w:lang w:val="en-US"/>
        </w:rPr>
        <w:t>different libraries</w:t>
      </w:r>
      <w:bookmarkStart w:id="13" w:name="_GoBack"/>
      <w:bookmarkEnd w:id="13"/>
      <w:r>
        <w:rPr>
          <w:lang w:val="en-US"/>
        </w:rPr>
        <w:t>.</w:t>
      </w:r>
    </w:p>
    <w:p w:rsidR="009B65BA" w:rsidRDefault="009B65BA" w:rsidP="009B65BA">
      <w:pPr>
        <w:rPr>
          <w:b/>
          <w:lang w:val="en-US"/>
        </w:rPr>
      </w:pPr>
      <w:r>
        <w:rPr>
          <w:b/>
          <w:lang w:val="en-US"/>
        </w:rPr>
        <w:t>Optional</w:t>
      </w:r>
    </w:p>
    <w:p w:rsidR="009B65BA" w:rsidRDefault="009B65BA" w:rsidP="009B65BA">
      <w:pPr>
        <w:overflowPunct/>
        <w:autoSpaceDE/>
        <w:autoSpaceDN/>
        <w:adjustRightInd/>
        <w:spacing w:after="200" w:line="276" w:lineRule="auto"/>
        <w:jc w:val="left"/>
        <w:textAlignment w:val="auto"/>
        <w:rPr>
          <w:lang w:val="en-US"/>
        </w:rPr>
      </w:pPr>
      <w:r>
        <w:rPr>
          <w:lang w:val="en-US"/>
        </w:rPr>
        <w:t>Yes, by default it is assumed that the test-bench gets compiled into the same library as the DUT.</w:t>
      </w:r>
    </w:p>
    <w:p w:rsidR="009B65BA" w:rsidRDefault="009B65BA" w:rsidP="009B65BA">
      <w:pPr>
        <w:overflowPunct/>
        <w:autoSpaceDE/>
        <w:autoSpaceDN/>
        <w:adjustRightInd/>
        <w:spacing w:after="200" w:line="276" w:lineRule="auto"/>
        <w:jc w:val="left"/>
        <w:textAlignment w:val="auto"/>
        <w:rPr>
          <w:b/>
          <w:lang w:val="en-US"/>
        </w:rPr>
      </w:pPr>
      <w:r>
        <w:rPr>
          <w:b/>
          <w:lang w:val="en-US"/>
        </w:rPr>
        <w:t>Example</w:t>
      </w:r>
    </w:p>
    <w:p w:rsidR="009B65BA" w:rsidRDefault="009B65BA" w:rsidP="009B65BA">
      <w:pPr>
        <w:shd w:val="clear" w:color="auto" w:fill="D9D9D9" w:themeFill="background1" w:themeFillShade="D9"/>
        <w:spacing w:before="240" w:after="240"/>
        <w:jc w:val="left"/>
        <w:rPr>
          <w:lang w:val="en-US"/>
        </w:rPr>
      </w:pPr>
      <w:r>
        <w:rPr>
          <w:lang w:val="en-US"/>
        </w:rPr>
        <w:t>-- $$ dutlib=psi_lib $$</w:t>
      </w:r>
    </w:p>
    <w:p w:rsidR="00F60C60" w:rsidRDefault="00F60C60" w:rsidP="00F60C60">
      <w:pPr>
        <w:pStyle w:val="Heading4"/>
        <w:pageBreakBefore/>
        <w:ind w:left="862" w:hanging="862"/>
        <w:rPr>
          <w:lang w:val="en-US"/>
        </w:rPr>
      </w:pPr>
      <w:r>
        <w:rPr>
          <w:lang w:val="en-US"/>
        </w:rPr>
        <w:lastRenderedPageBreak/>
        <w:t>TB</w:t>
      </w:r>
      <w:r>
        <w:rPr>
          <w:lang w:val="en-US"/>
        </w:rPr>
        <w:t>LIB</w:t>
      </w:r>
    </w:p>
    <w:p w:rsidR="00F60C60" w:rsidRDefault="00F60C60" w:rsidP="00F60C60">
      <w:pPr>
        <w:rPr>
          <w:b/>
          <w:lang w:val="en-US"/>
        </w:rPr>
      </w:pPr>
      <w:r>
        <w:rPr>
          <w:b/>
          <w:lang w:val="en-US"/>
        </w:rPr>
        <w:t>Purpose</w:t>
      </w:r>
    </w:p>
    <w:p w:rsidR="00F60C60" w:rsidRDefault="00F60C60" w:rsidP="00F60C60">
      <w:pPr>
        <w:rPr>
          <w:lang w:val="en-US"/>
        </w:rPr>
      </w:pPr>
      <w:r>
        <w:rPr>
          <w:lang w:val="en-US"/>
        </w:rPr>
        <w:t xml:space="preserve">This tag can be used to explicitly specify to which VHDL library the </w:t>
      </w:r>
      <w:r>
        <w:rPr>
          <w:lang w:val="en-US"/>
        </w:rPr>
        <w:t>test</w:t>
      </w:r>
      <w:r w:rsidR="008C0487">
        <w:rPr>
          <w:lang w:val="en-US"/>
        </w:rPr>
        <w:t>-</w:t>
      </w:r>
      <w:r>
        <w:rPr>
          <w:lang w:val="en-US"/>
        </w:rPr>
        <w:t>bench</w:t>
      </w:r>
      <w:r>
        <w:rPr>
          <w:lang w:val="en-US"/>
        </w:rPr>
        <w:t xml:space="preserve"> belongs. This is required whenever the test-bench </w:t>
      </w:r>
      <w:r w:rsidR="00282A68">
        <w:rPr>
          <w:lang w:val="en-US"/>
        </w:rPr>
        <w:t>should</w:t>
      </w:r>
      <w:r>
        <w:rPr>
          <w:lang w:val="en-US"/>
        </w:rPr>
        <w:t xml:space="preserve"> not</w:t>
      </w:r>
      <w:r>
        <w:rPr>
          <w:lang w:val="en-US"/>
        </w:rPr>
        <w:t xml:space="preserve"> be</w:t>
      </w:r>
      <w:r>
        <w:rPr>
          <w:lang w:val="en-US"/>
        </w:rPr>
        <w:t xml:space="preserve"> compiled into</w:t>
      </w:r>
      <w:r w:rsidR="00966871">
        <w:rPr>
          <w:lang w:val="en-US"/>
        </w:rPr>
        <w:t xml:space="preserve"> a specific library instead of</w:t>
      </w:r>
      <w:r>
        <w:rPr>
          <w:lang w:val="en-US"/>
        </w:rPr>
        <w:t xml:space="preserve"> the </w:t>
      </w:r>
      <w:r>
        <w:rPr>
          <w:lang w:val="en-US"/>
        </w:rPr>
        <w:t xml:space="preserve">default </w:t>
      </w:r>
      <w:r w:rsidR="00755660">
        <w:rPr>
          <w:lang w:val="en-US"/>
        </w:rPr>
        <w:t>“</w:t>
      </w:r>
      <w:r>
        <w:rPr>
          <w:lang w:val="en-US"/>
        </w:rPr>
        <w:t>work</w:t>
      </w:r>
      <w:r w:rsidR="00755660">
        <w:rPr>
          <w:lang w:val="en-US"/>
        </w:rPr>
        <w:t>”</w:t>
      </w:r>
      <w:r>
        <w:rPr>
          <w:lang w:val="en-US"/>
        </w:rPr>
        <w:t xml:space="preserve"> library</w:t>
      </w:r>
      <w:r>
        <w:rPr>
          <w:lang w:val="en-US"/>
        </w:rPr>
        <w:t>.</w:t>
      </w:r>
    </w:p>
    <w:p w:rsidR="00F60C60" w:rsidRDefault="00F60C60" w:rsidP="00F60C60">
      <w:pPr>
        <w:rPr>
          <w:b/>
          <w:lang w:val="en-US"/>
        </w:rPr>
      </w:pPr>
      <w:r>
        <w:rPr>
          <w:b/>
          <w:lang w:val="en-US"/>
        </w:rPr>
        <w:t>Optional</w:t>
      </w:r>
    </w:p>
    <w:p w:rsidR="00F60C60" w:rsidRDefault="00F60C60" w:rsidP="00F60C60">
      <w:pPr>
        <w:overflowPunct/>
        <w:autoSpaceDE/>
        <w:autoSpaceDN/>
        <w:adjustRightInd/>
        <w:spacing w:after="200" w:line="276" w:lineRule="auto"/>
        <w:jc w:val="left"/>
        <w:textAlignment w:val="auto"/>
        <w:rPr>
          <w:lang w:val="en-US"/>
        </w:rPr>
      </w:pPr>
      <w:r>
        <w:rPr>
          <w:lang w:val="en-US"/>
        </w:rPr>
        <w:t>Yes, by default it is assumed that the te</w:t>
      </w:r>
      <w:r w:rsidR="00755660">
        <w:rPr>
          <w:lang w:val="en-US"/>
        </w:rPr>
        <w:t>st-bench gets compiled into the “work”</w:t>
      </w:r>
      <w:r>
        <w:rPr>
          <w:lang w:val="en-US"/>
        </w:rPr>
        <w:t xml:space="preserve"> library.</w:t>
      </w:r>
    </w:p>
    <w:p w:rsidR="00F60C60" w:rsidRDefault="00F60C60" w:rsidP="00F60C60">
      <w:pPr>
        <w:overflowPunct/>
        <w:autoSpaceDE/>
        <w:autoSpaceDN/>
        <w:adjustRightInd/>
        <w:spacing w:after="200" w:line="276" w:lineRule="auto"/>
        <w:jc w:val="left"/>
        <w:textAlignment w:val="auto"/>
        <w:rPr>
          <w:b/>
          <w:lang w:val="en-US"/>
        </w:rPr>
      </w:pPr>
      <w:r>
        <w:rPr>
          <w:b/>
          <w:lang w:val="en-US"/>
        </w:rPr>
        <w:t>Example</w:t>
      </w:r>
    </w:p>
    <w:p w:rsidR="00F60C60" w:rsidRDefault="00F60C60" w:rsidP="00F60C60">
      <w:pPr>
        <w:shd w:val="clear" w:color="auto" w:fill="D9D9D9" w:themeFill="background1" w:themeFillShade="D9"/>
        <w:spacing w:before="240" w:after="240"/>
        <w:jc w:val="left"/>
        <w:rPr>
          <w:lang w:val="en-US"/>
        </w:rPr>
      </w:pPr>
      <w:r>
        <w:rPr>
          <w:lang w:val="en-US"/>
        </w:rPr>
        <w:t xml:space="preserve">-- $$ </w:t>
      </w:r>
      <w:r w:rsidR="000421B6">
        <w:rPr>
          <w:lang w:val="en-US"/>
        </w:rPr>
        <w:t>tb</w:t>
      </w:r>
      <w:r>
        <w:rPr>
          <w:lang w:val="en-US"/>
        </w:rPr>
        <w:t>lib=psi_lib $$</w:t>
      </w:r>
    </w:p>
    <w:p w:rsidR="001E4196" w:rsidRDefault="001E4196" w:rsidP="00F60C60">
      <w:pPr>
        <w:pStyle w:val="Heading4"/>
        <w:ind w:left="862" w:hanging="862"/>
        <w:rPr>
          <w:lang w:val="en-US"/>
        </w:rPr>
      </w:pPr>
      <w:r>
        <w:rPr>
          <w:lang w:val="en-US"/>
        </w:rPr>
        <w:t>TBPKG</w:t>
      </w:r>
    </w:p>
    <w:p w:rsidR="001E4196" w:rsidRDefault="001E4196" w:rsidP="001E4196">
      <w:pPr>
        <w:rPr>
          <w:b/>
          <w:lang w:val="en-US"/>
        </w:rPr>
      </w:pPr>
      <w:r>
        <w:rPr>
          <w:b/>
          <w:lang w:val="en-US"/>
        </w:rPr>
        <w:t>Purpose</w:t>
      </w:r>
    </w:p>
    <w:p w:rsidR="001E4196" w:rsidRDefault="001E4196" w:rsidP="001E4196">
      <w:pPr>
        <w:rPr>
          <w:lang w:val="en-US"/>
        </w:rPr>
      </w:pPr>
      <w:r>
        <w:rPr>
          <w:lang w:val="en-US"/>
        </w:rPr>
        <w:t>This tag can be used to specify additional packages that are not required for the implementation of the entity but will be used in the test-bench. These packages will then be added to all generated files.</w:t>
      </w:r>
    </w:p>
    <w:p w:rsidR="001E4196" w:rsidRPr="001E4196" w:rsidRDefault="001E4196" w:rsidP="001E4196">
      <w:pPr>
        <w:rPr>
          <w:lang w:val="en-US"/>
        </w:rPr>
      </w:pPr>
      <w:r>
        <w:rPr>
          <w:lang w:val="en-US"/>
        </w:rPr>
        <w:t xml:space="preserve">Packages must be specified in the form </w:t>
      </w:r>
      <w:r>
        <w:rPr>
          <w:i/>
          <w:lang w:val="en-US"/>
        </w:rPr>
        <w:t>&lt;library&gt;.&lt;package&gt;</w:t>
      </w:r>
      <w:r>
        <w:rPr>
          <w:lang w:val="en-US"/>
        </w:rPr>
        <w:t>.</w:t>
      </w:r>
    </w:p>
    <w:p w:rsidR="001E4196" w:rsidRDefault="001E4196" w:rsidP="001E4196">
      <w:pPr>
        <w:rPr>
          <w:b/>
          <w:lang w:val="en-US"/>
        </w:rPr>
      </w:pPr>
      <w:r>
        <w:rPr>
          <w:b/>
          <w:lang w:val="en-US"/>
        </w:rPr>
        <w:t>Optional</w:t>
      </w:r>
    </w:p>
    <w:p w:rsidR="001E4196" w:rsidRDefault="001E4196" w:rsidP="001E4196">
      <w:pPr>
        <w:overflowPunct/>
        <w:autoSpaceDE/>
        <w:autoSpaceDN/>
        <w:adjustRightInd/>
        <w:spacing w:after="200" w:line="276" w:lineRule="auto"/>
        <w:jc w:val="left"/>
        <w:textAlignment w:val="auto"/>
        <w:rPr>
          <w:lang w:val="en-US"/>
        </w:rPr>
      </w:pPr>
      <w:r>
        <w:rPr>
          <w:lang w:val="en-US"/>
        </w:rPr>
        <w:t>Yes.</w:t>
      </w:r>
    </w:p>
    <w:p w:rsidR="001E4196" w:rsidRDefault="001E4196" w:rsidP="001E4196">
      <w:pPr>
        <w:overflowPunct/>
        <w:autoSpaceDE/>
        <w:autoSpaceDN/>
        <w:adjustRightInd/>
        <w:spacing w:after="200" w:line="276" w:lineRule="auto"/>
        <w:jc w:val="left"/>
        <w:textAlignment w:val="auto"/>
        <w:rPr>
          <w:b/>
          <w:lang w:val="en-US"/>
        </w:rPr>
      </w:pPr>
      <w:r>
        <w:rPr>
          <w:b/>
          <w:lang w:val="en-US"/>
        </w:rPr>
        <w:t>Example</w:t>
      </w:r>
    </w:p>
    <w:p w:rsidR="001E4196" w:rsidRDefault="001E4196" w:rsidP="001E4196">
      <w:pPr>
        <w:shd w:val="clear" w:color="auto" w:fill="D9D9D9" w:themeFill="background1" w:themeFillShade="D9"/>
        <w:spacing w:before="240" w:after="240"/>
        <w:jc w:val="left"/>
        <w:rPr>
          <w:rFonts w:ascii="Courier New" w:hAnsi="Courier New" w:cs="Courier New"/>
          <w:b/>
          <w:i/>
          <w:sz w:val="20"/>
          <w:lang w:val="en-US"/>
        </w:rPr>
      </w:pPr>
      <w:r>
        <w:rPr>
          <w:lang w:val="en-US"/>
        </w:rPr>
        <w:t>-- $$ tbpkg=work.my_package_pkg,any_lib.blubb_pkg $$</w:t>
      </w:r>
    </w:p>
    <w:p w:rsidR="001E4196" w:rsidRDefault="001E4196" w:rsidP="009B65BA">
      <w:pPr>
        <w:shd w:val="clear" w:color="auto" w:fill="D9D9D9" w:themeFill="background1" w:themeFillShade="D9"/>
        <w:spacing w:before="240" w:after="240"/>
        <w:jc w:val="left"/>
        <w:rPr>
          <w:rFonts w:ascii="Courier New" w:hAnsi="Courier New" w:cs="Courier New"/>
          <w:b/>
          <w:i/>
          <w:sz w:val="20"/>
          <w:lang w:val="en-US"/>
        </w:rPr>
      </w:pPr>
    </w:p>
    <w:p w:rsidR="00A80C57" w:rsidRDefault="001A4D45" w:rsidP="001A4D45">
      <w:pPr>
        <w:pStyle w:val="Heading3"/>
        <w:pageBreakBefore/>
        <w:rPr>
          <w:lang w:val="en-US"/>
        </w:rPr>
      </w:pPr>
      <w:r>
        <w:rPr>
          <w:lang w:val="en-US"/>
        </w:rPr>
        <w:lastRenderedPageBreak/>
        <w:t>Generic Tags</w:t>
      </w:r>
    </w:p>
    <w:p w:rsidR="001A4D45" w:rsidRDefault="001A4D45" w:rsidP="001A4D45">
      <w:pPr>
        <w:rPr>
          <w:lang w:val="en-US"/>
        </w:rPr>
      </w:pPr>
      <w:r>
        <w:rPr>
          <w:lang w:val="en-US"/>
        </w:rPr>
        <w:t>Generic tags are related to specific generics and must be placed as comments on the same line as the generic declaration itself.</w:t>
      </w:r>
    </w:p>
    <w:p w:rsidR="001A4D45" w:rsidRDefault="001A4D45" w:rsidP="001A4D45">
      <w:pPr>
        <w:pStyle w:val="Heading4"/>
        <w:rPr>
          <w:lang w:val="en-US"/>
        </w:rPr>
      </w:pPr>
      <w:r>
        <w:rPr>
          <w:lang w:val="en-US"/>
        </w:rPr>
        <w:t>EXPORT</w:t>
      </w:r>
    </w:p>
    <w:p w:rsidR="001A4D45" w:rsidRDefault="001A4D45" w:rsidP="001A4D45">
      <w:pPr>
        <w:rPr>
          <w:b/>
          <w:lang w:val="en-US"/>
        </w:rPr>
      </w:pPr>
      <w:r>
        <w:rPr>
          <w:b/>
          <w:lang w:val="en-US"/>
        </w:rPr>
        <w:t>Purpose</w:t>
      </w:r>
    </w:p>
    <w:p w:rsidR="001A4D45" w:rsidRDefault="001A4D45" w:rsidP="001A4D45">
      <w:pPr>
        <w:rPr>
          <w:lang w:val="en-US"/>
        </w:rPr>
      </w:pPr>
      <w:r>
        <w:rPr>
          <w:lang w:val="en-US"/>
        </w:rPr>
        <w:t xml:space="preserve">This tag can be used to let </w:t>
      </w:r>
      <w:r>
        <w:rPr>
          <w:i/>
          <w:lang w:val="en-US"/>
        </w:rPr>
        <w:t>TbGenerator</w:t>
      </w:r>
      <w:r>
        <w:rPr>
          <w:lang w:val="en-US"/>
        </w:rPr>
        <w:t xml:space="preserve"> know that a generic should be exported from the testbench (i.e. be configurable from outside of the testbench).</w:t>
      </w:r>
    </w:p>
    <w:p w:rsidR="001A4D45" w:rsidRDefault="001A4D45" w:rsidP="001A4D45">
      <w:pPr>
        <w:rPr>
          <w:b/>
          <w:lang w:val="en-US"/>
        </w:rPr>
      </w:pPr>
      <w:r>
        <w:rPr>
          <w:b/>
          <w:lang w:val="en-US"/>
        </w:rPr>
        <w:t>Optional</w:t>
      </w:r>
    </w:p>
    <w:p w:rsidR="001A4D45" w:rsidRDefault="001A4D45" w:rsidP="001A4D45">
      <w:pPr>
        <w:overflowPunct/>
        <w:autoSpaceDE/>
        <w:autoSpaceDN/>
        <w:adjustRightInd/>
        <w:spacing w:after="200" w:line="276" w:lineRule="auto"/>
        <w:jc w:val="left"/>
        <w:textAlignment w:val="auto"/>
        <w:rPr>
          <w:lang w:val="en-US"/>
        </w:rPr>
      </w:pPr>
      <w:r>
        <w:rPr>
          <w:lang w:val="en-US"/>
        </w:rPr>
        <w:t>Yes, by default generics are not exported.</w:t>
      </w:r>
    </w:p>
    <w:p w:rsidR="001A4D45" w:rsidRDefault="001A4D45" w:rsidP="001A4D45">
      <w:pPr>
        <w:overflowPunct/>
        <w:autoSpaceDE/>
        <w:autoSpaceDN/>
        <w:adjustRightInd/>
        <w:spacing w:after="200" w:line="276" w:lineRule="auto"/>
        <w:jc w:val="left"/>
        <w:textAlignment w:val="auto"/>
        <w:rPr>
          <w:b/>
          <w:lang w:val="en-US"/>
        </w:rPr>
      </w:pPr>
      <w:r>
        <w:rPr>
          <w:b/>
          <w:lang w:val="en-US"/>
        </w:rPr>
        <w:t>Example</w:t>
      </w:r>
    </w:p>
    <w:p w:rsidR="001A4D45" w:rsidRDefault="001A4D45" w:rsidP="001A4D45">
      <w:pPr>
        <w:shd w:val="clear" w:color="auto" w:fill="D9D9D9" w:themeFill="background1" w:themeFillShade="D9"/>
        <w:spacing w:before="240" w:after="240"/>
        <w:jc w:val="left"/>
        <w:rPr>
          <w:rFonts w:ascii="Courier New" w:hAnsi="Courier New" w:cs="Courier New"/>
          <w:b/>
          <w:i/>
          <w:sz w:val="20"/>
          <w:lang w:val="en-US"/>
        </w:rPr>
      </w:pPr>
      <w:r>
        <w:rPr>
          <w:lang w:val="en-US"/>
        </w:rPr>
        <w:t>SomeGeneric : integer := 5; -- $$ export=true $$</w:t>
      </w:r>
    </w:p>
    <w:p w:rsidR="001A4D45" w:rsidRDefault="001A4D45" w:rsidP="001A4D45">
      <w:pPr>
        <w:pStyle w:val="Heading4"/>
        <w:rPr>
          <w:lang w:val="en-US"/>
        </w:rPr>
      </w:pPr>
      <w:r>
        <w:rPr>
          <w:lang w:val="en-US"/>
        </w:rPr>
        <w:t>CONSTANT</w:t>
      </w:r>
    </w:p>
    <w:p w:rsidR="001A4D45" w:rsidRDefault="001A4D45" w:rsidP="001A4D45">
      <w:pPr>
        <w:rPr>
          <w:b/>
          <w:lang w:val="en-US"/>
        </w:rPr>
      </w:pPr>
      <w:r>
        <w:rPr>
          <w:b/>
          <w:lang w:val="en-US"/>
        </w:rPr>
        <w:t>Purpose</w:t>
      </w:r>
    </w:p>
    <w:p w:rsidR="001A4D45" w:rsidRDefault="001A4D45" w:rsidP="001A4D45">
      <w:pPr>
        <w:rPr>
          <w:lang w:val="en-US"/>
        </w:rPr>
      </w:pPr>
      <w:r>
        <w:rPr>
          <w:lang w:val="en-US"/>
        </w:rPr>
        <w:t xml:space="preserve">This tag can be used to let </w:t>
      </w:r>
      <w:r>
        <w:rPr>
          <w:i/>
          <w:lang w:val="en-US"/>
        </w:rPr>
        <w:t>TbGenerator</w:t>
      </w:r>
      <w:r>
        <w:rPr>
          <w:lang w:val="en-US"/>
        </w:rPr>
        <w:t xml:space="preserve"> know that a generic should be set to a given value (that can be different from the default value) in the testbench.</w:t>
      </w:r>
    </w:p>
    <w:p w:rsidR="001A4D45" w:rsidRDefault="001A4D45" w:rsidP="001A4D45">
      <w:pPr>
        <w:rPr>
          <w:b/>
          <w:lang w:val="en-US"/>
        </w:rPr>
      </w:pPr>
      <w:r>
        <w:rPr>
          <w:b/>
          <w:lang w:val="en-US"/>
        </w:rPr>
        <w:t>Optional</w:t>
      </w:r>
    </w:p>
    <w:p w:rsidR="001A4D45" w:rsidRDefault="001A4D45" w:rsidP="001A4D45">
      <w:pPr>
        <w:overflowPunct/>
        <w:autoSpaceDE/>
        <w:autoSpaceDN/>
        <w:adjustRightInd/>
        <w:spacing w:after="200" w:line="276" w:lineRule="auto"/>
        <w:jc w:val="left"/>
        <w:textAlignment w:val="auto"/>
        <w:rPr>
          <w:lang w:val="en-US"/>
        </w:rPr>
      </w:pPr>
      <w:r>
        <w:rPr>
          <w:lang w:val="en-US"/>
        </w:rPr>
        <w:t>Yes, by default generics are set to their default values.</w:t>
      </w:r>
    </w:p>
    <w:p w:rsidR="001A4D45" w:rsidRDefault="001A4D45" w:rsidP="001A4D45">
      <w:pPr>
        <w:overflowPunct/>
        <w:autoSpaceDE/>
        <w:autoSpaceDN/>
        <w:adjustRightInd/>
        <w:spacing w:after="200" w:line="276" w:lineRule="auto"/>
        <w:jc w:val="left"/>
        <w:textAlignment w:val="auto"/>
        <w:rPr>
          <w:b/>
          <w:lang w:val="en-US"/>
        </w:rPr>
      </w:pPr>
      <w:r>
        <w:rPr>
          <w:b/>
          <w:lang w:val="en-US"/>
        </w:rPr>
        <w:t>Example</w:t>
      </w:r>
    </w:p>
    <w:p w:rsidR="001A4D45" w:rsidRDefault="001A4D45" w:rsidP="001A4D45">
      <w:pPr>
        <w:shd w:val="clear" w:color="auto" w:fill="D9D9D9" w:themeFill="background1" w:themeFillShade="D9"/>
        <w:spacing w:before="240" w:after="240"/>
        <w:jc w:val="left"/>
        <w:rPr>
          <w:rFonts w:ascii="Courier New" w:hAnsi="Courier New" w:cs="Courier New"/>
          <w:b/>
          <w:i/>
          <w:sz w:val="20"/>
          <w:lang w:val="en-US"/>
        </w:rPr>
      </w:pPr>
      <w:r>
        <w:rPr>
          <w:lang w:val="en-US"/>
        </w:rPr>
        <w:t>SomeGeneric : integer := 5; -- $$ constant=10 $$</w:t>
      </w:r>
    </w:p>
    <w:p w:rsidR="001A4D45" w:rsidRDefault="001A4D45" w:rsidP="001A4D45">
      <w:pPr>
        <w:pStyle w:val="Heading3"/>
        <w:pageBreakBefore/>
        <w:rPr>
          <w:lang w:val="en-US"/>
        </w:rPr>
      </w:pPr>
      <w:r>
        <w:rPr>
          <w:lang w:val="en-US"/>
        </w:rPr>
        <w:lastRenderedPageBreak/>
        <w:t>Port Tags</w:t>
      </w:r>
    </w:p>
    <w:p w:rsidR="001A4D45" w:rsidRDefault="001A4D45" w:rsidP="001A4D45">
      <w:pPr>
        <w:rPr>
          <w:lang w:val="en-US"/>
        </w:rPr>
      </w:pPr>
      <w:r>
        <w:rPr>
          <w:lang w:val="en-US"/>
        </w:rPr>
        <w:t>Port tags are related to specific ports and must be placed as comments on the same line as the port declaration itself.</w:t>
      </w:r>
    </w:p>
    <w:p w:rsidR="001A4D45" w:rsidRDefault="001A4D45" w:rsidP="001A4D45">
      <w:pPr>
        <w:pStyle w:val="Heading4"/>
        <w:rPr>
          <w:lang w:val="en-US"/>
        </w:rPr>
      </w:pPr>
      <w:r>
        <w:rPr>
          <w:lang w:val="en-US"/>
        </w:rPr>
        <w:t>LOWACTIVE</w:t>
      </w:r>
    </w:p>
    <w:p w:rsidR="001A4D45" w:rsidRDefault="001A4D45" w:rsidP="001A4D45">
      <w:pPr>
        <w:rPr>
          <w:b/>
          <w:lang w:val="en-US"/>
        </w:rPr>
      </w:pPr>
      <w:r>
        <w:rPr>
          <w:b/>
          <w:lang w:val="en-US"/>
        </w:rPr>
        <w:t>Purpose</w:t>
      </w:r>
    </w:p>
    <w:p w:rsidR="001A4D45" w:rsidRPr="001A4D45" w:rsidRDefault="001A4D45" w:rsidP="001A4D45">
      <w:pPr>
        <w:rPr>
          <w:lang w:val="en-US"/>
        </w:rPr>
      </w:pPr>
      <w:r>
        <w:rPr>
          <w:lang w:val="en-US"/>
        </w:rPr>
        <w:t xml:space="preserve">This tag allows specifying that a port is low-active. This leads </w:t>
      </w:r>
      <w:r>
        <w:rPr>
          <w:i/>
          <w:lang w:val="en-US"/>
        </w:rPr>
        <w:t xml:space="preserve">TbGenerator </w:t>
      </w:r>
      <w:r>
        <w:rPr>
          <w:lang w:val="en-US"/>
        </w:rPr>
        <w:t xml:space="preserve">to initialize the related signal with high-level instead of low-level for normal signals. For resets it leads </w:t>
      </w:r>
      <w:r>
        <w:rPr>
          <w:i/>
          <w:lang w:val="en-US"/>
        </w:rPr>
        <w:t>TbGenerator</w:t>
      </w:r>
      <w:r>
        <w:rPr>
          <w:lang w:val="en-US"/>
        </w:rPr>
        <w:t xml:space="preserve"> to apply ‘0’ to assert the reset and ‘1’ to remove it.</w:t>
      </w:r>
    </w:p>
    <w:p w:rsidR="001A4D45" w:rsidRDefault="001A4D45" w:rsidP="001A4D45">
      <w:pPr>
        <w:rPr>
          <w:b/>
          <w:lang w:val="en-US"/>
        </w:rPr>
      </w:pPr>
      <w:r>
        <w:rPr>
          <w:b/>
          <w:lang w:val="en-US"/>
        </w:rPr>
        <w:t>Optional</w:t>
      </w:r>
    </w:p>
    <w:p w:rsidR="001A4D45" w:rsidRDefault="001A4D45" w:rsidP="001A4D45">
      <w:pPr>
        <w:overflowPunct/>
        <w:autoSpaceDE/>
        <w:autoSpaceDN/>
        <w:adjustRightInd/>
        <w:spacing w:after="200" w:line="276" w:lineRule="auto"/>
        <w:jc w:val="left"/>
        <w:textAlignment w:val="auto"/>
        <w:rPr>
          <w:lang w:val="en-US"/>
        </w:rPr>
      </w:pPr>
      <w:r>
        <w:rPr>
          <w:lang w:val="en-US"/>
        </w:rPr>
        <w:t>Yes, by default all ports are regarded as high-active.</w:t>
      </w:r>
    </w:p>
    <w:p w:rsidR="001A4D45" w:rsidRDefault="001A4D45" w:rsidP="001A4D45">
      <w:pPr>
        <w:overflowPunct/>
        <w:autoSpaceDE/>
        <w:autoSpaceDN/>
        <w:adjustRightInd/>
        <w:spacing w:after="200" w:line="276" w:lineRule="auto"/>
        <w:jc w:val="left"/>
        <w:textAlignment w:val="auto"/>
        <w:rPr>
          <w:b/>
          <w:lang w:val="en-US"/>
        </w:rPr>
      </w:pPr>
      <w:r>
        <w:rPr>
          <w:b/>
          <w:lang w:val="en-US"/>
        </w:rPr>
        <w:t>Example</w:t>
      </w:r>
    </w:p>
    <w:p w:rsidR="001A4D45" w:rsidRDefault="001A4D45" w:rsidP="001A4D45">
      <w:pPr>
        <w:shd w:val="clear" w:color="auto" w:fill="D9D9D9" w:themeFill="background1" w:themeFillShade="D9"/>
        <w:spacing w:before="240" w:after="240"/>
        <w:jc w:val="left"/>
        <w:rPr>
          <w:rFonts w:ascii="Courier New" w:hAnsi="Courier New" w:cs="Courier New"/>
          <w:b/>
          <w:i/>
          <w:sz w:val="20"/>
          <w:lang w:val="en-US"/>
        </w:rPr>
      </w:pPr>
      <w:r>
        <w:rPr>
          <w:lang w:val="en-US"/>
        </w:rPr>
        <w:t>SomePort : in std_logic; -- $$ lowactive=true $$</w:t>
      </w:r>
    </w:p>
    <w:p w:rsidR="001A4D45" w:rsidRDefault="001A4D45" w:rsidP="001A4D45">
      <w:pPr>
        <w:pStyle w:val="Heading4"/>
        <w:rPr>
          <w:lang w:val="en-US"/>
        </w:rPr>
      </w:pPr>
      <w:r>
        <w:rPr>
          <w:lang w:val="en-US"/>
        </w:rPr>
        <w:t>TYPE</w:t>
      </w:r>
    </w:p>
    <w:p w:rsidR="001A4D45" w:rsidRDefault="001A4D45" w:rsidP="001A4D45">
      <w:pPr>
        <w:rPr>
          <w:b/>
          <w:lang w:val="en-US"/>
        </w:rPr>
      </w:pPr>
      <w:r>
        <w:rPr>
          <w:b/>
          <w:lang w:val="en-US"/>
        </w:rPr>
        <w:t>Purpose</w:t>
      </w:r>
    </w:p>
    <w:p w:rsidR="001A4D45" w:rsidRDefault="001A4D45" w:rsidP="001A4D45">
      <w:pPr>
        <w:rPr>
          <w:lang w:val="en-US"/>
        </w:rPr>
      </w:pPr>
      <w:r>
        <w:rPr>
          <w:lang w:val="en-US"/>
        </w:rPr>
        <w:t>This tag allows specifying that a port has a special functionality. The following special functionalities are available:</w:t>
      </w:r>
    </w:p>
    <w:p w:rsidR="001A4D45" w:rsidRDefault="001A4D45" w:rsidP="001A4D45">
      <w:pPr>
        <w:rPr>
          <w:lang w:val="en-US"/>
        </w:rPr>
      </w:pPr>
      <w:r w:rsidRPr="001A4D45">
        <w:rPr>
          <w:i/>
          <w:lang w:val="en-US"/>
        </w:rPr>
        <w:t>clk</w:t>
      </w:r>
      <w:r>
        <w:rPr>
          <w:lang w:val="en-US"/>
        </w:rPr>
        <w:tab/>
        <w:t xml:space="preserve">The port is a clock input. </w:t>
      </w:r>
      <w:r>
        <w:rPr>
          <w:i/>
          <w:lang w:val="en-US"/>
        </w:rPr>
        <w:t>TbGenerator</w:t>
      </w:r>
      <w:r>
        <w:rPr>
          <w:lang w:val="en-US"/>
        </w:rPr>
        <w:t xml:space="preserve"> automatically generates the correct clock on this pin. </w:t>
      </w:r>
      <w:r w:rsidR="00B42D3B">
        <w:rPr>
          <w:lang w:val="en-US"/>
        </w:rPr>
        <w:t>Clock pins</w:t>
      </w:r>
      <w:r w:rsidR="00B42D3B">
        <w:rPr>
          <w:lang w:val="en-US"/>
        </w:rPr>
        <w:br/>
        <w:t xml:space="preserve"> </w:t>
      </w:r>
      <w:r w:rsidR="00B42D3B">
        <w:rPr>
          <w:lang w:val="en-US"/>
        </w:rPr>
        <w:tab/>
        <w:t xml:space="preserve">must also have the </w:t>
      </w:r>
      <w:r w:rsidR="00B42D3B">
        <w:rPr>
          <w:i/>
          <w:lang w:val="en-US"/>
        </w:rPr>
        <w:t>FREQ</w:t>
      </w:r>
      <w:r w:rsidR="00B42D3B">
        <w:rPr>
          <w:lang w:val="en-US"/>
        </w:rPr>
        <w:t xml:space="preserve"> tag to specify the clock frequency.</w:t>
      </w:r>
    </w:p>
    <w:p w:rsidR="00B42D3B" w:rsidRPr="00B42D3B" w:rsidRDefault="00B42D3B" w:rsidP="001A4D45">
      <w:pPr>
        <w:rPr>
          <w:lang w:val="en-US"/>
        </w:rPr>
      </w:pPr>
      <w:r>
        <w:rPr>
          <w:i/>
          <w:lang w:val="en-US"/>
        </w:rPr>
        <w:t>rst</w:t>
      </w:r>
      <w:r>
        <w:rPr>
          <w:i/>
          <w:lang w:val="en-US"/>
        </w:rPr>
        <w:tab/>
      </w:r>
      <w:r>
        <w:rPr>
          <w:lang w:val="en-US"/>
        </w:rPr>
        <w:t xml:space="preserve">The port is a reset input. </w:t>
      </w:r>
      <w:r>
        <w:rPr>
          <w:i/>
          <w:lang w:val="en-US"/>
        </w:rPr>
        <w:t xml:space="preserve">TbGenerator </w:t>
      </w:r>
      <w:r>
        <w:rPr>
          <w:lang w:val="en-US"/>
        </w:rPr>
        <w:t>automatically asserts the reset at the beginning of the test and</w:t>
      </w:r>
      <w:r>
        <w:rPr>
          <w:lang w:val="en-US"/>
        </w:rPr>
        <w:br/>
        <w:t xml:space="preserve"> </w:t>
      </w:r>
      <w:r>
        <w:rPr>
          <w:lang w:val="en-US"/>
        </w:rPr>
        <w:tab/>
        <w:t xml:space="preserve">removes it synchronously to the clock. Reset ports must also have the </w:t>
      </w:r>
      <w:r>
        <w:rPr>
          <w:i/>
          <w:lang w:val="en-US"/>
        </w:rPr>
        <w:t>CLK</w:t>
      </w:r>
      <w:r>
        <w:rPr>
          <w:lang w:val="en-US"/>
        </w:rPr>
        <w:t xml:space="preserve"> tag to specify the related </w:t>
      </w:r>
      <w:r>
        <w:rPr>
          <w:lang w:val="en-US"/>
        </w:rPr>
        <w:br/>
        <w:t xml:space="preserve"> </w:t>
      </w:r>
      <w:r>
        <w:rPr>
          <w:lang w:val="en-US"/>
        </w:rPr>
        <w:tab/>
        <w:t>clock.</w:t>
      </w:r>
      <w:r>
        <w:rPr>
          <w:lang w:val="en-US"/>
        </w:rPr>
        <w:tab/>
      </w:r>
    </w:p>
    <w:p w:rsidR="001A4D45" w:rsidRDefault="001A4D45" w:rsidP="001A4D45">
      <w:pPr>
        <w:rPr>
          <w:b/>
          <w:lang w:val="en-US"/>
        </w:rPr>
      </w:pPr>
      <w:r>
        <w:rPr>
          <w:b/>
          <w:lang w:val="en-US"/>
        </w:rPr>
        <w:t>Optional</w:t>
      </w:r>
    </w:p>
    <w:p w:rsidR="001A4D45" w:rsidRDefault="001A4D45" w:rsidP="001A4D45">
      <w:pPr>
        <w:overflowPunct/>
        <w:autoSpaceDE/>
        <w:autoSpaceDN/>
        <w:adjustRightInd/>
        <w:spacing w:after="200" w:line="276" w:lineRule="auto"/>
        <w:jc w:val="left"/>
        <w:textAlignment w:val="auto"/>
        <w:rPr>
          <w:lang w:val="en-US"/>
        </w:rPr>
      </w:pPr>
      <w:r>
        <w:rPr>
          <w:lang w:val="en-US"/>
        </w:rPr>
        <w:t xml:space="preserve">Yes, by default </w:t>
      </w:r>
      <w:r w:rsidR="00B42D3B">
        <w:rPr>
          <w:lang w:val="en-US"/>
        </w:rPr>
        <w:t>all ports are regarded as signals</w:t>
      </w:r>
    </w:p>
    <w:p w:rsidR="001A4D45" w:rsidRDefault="001A4D45" w:rsidP="001A4D45">
      <w:pPr>
        <w:overflowPunct/>
        <w:autoSpaceDE/>
        <w:autoSpaceDN/>
        <w:adjustRightInd/>
        <w:spacing w:after="200" w:line="276" w:lineRule="auto"/>
        <w:jc w:val="left"/>
        <w:textAlignment w:val="auto"/>
        <w:rPr>
          <w:b/>
          <w:lang w:val="en-US"/>
        </w:rPr>
      </w:pPr>
      <w:r>
        <w:rPr>
          <w:b/>
          <w:lang w:val="en-US"/>
        </w:rPr>
        <w:t>Example</w:t>
      </w:r>
    </w:p>
    <w:p w:rsidR="00B42D3B" w:rsidRPr="00B42D3B" w:rsidRDefault="00B42D3B" w:rsidP="001A4D45">
      <w:pPr>
        <w:shd w:val="clear" w:color="auto" w:fill="D9D9D9" w:themeFill="background1" w:themeFillShade="D9"/>
        <w:spacing w:before="240" w:after="240"/>
        <w:jc w:val="left"/>
        <w:rPr>
          <w:lang w:val="en-US"/>
        </w:rPr>
      </w:pPr>
      <w:r>
        <w:rPr>
          <w:lang w:val="en-US"/>
        </w:rPr>
        <w:t>InClk</w:t>
      </w:r>
      <w:r w:rsidR="001A4D45">
        <w:rPr>
          <w:lang w:val="en-US"/>
        </w:rPr>
        <w:t xml:space="preserve"> : in std_logic; -- $$ </w:t>
      </w:r>
      <w:r>
        <w:rPr>
          <w:lang w:val="en-US"/>
        </w:rPr>
        <w:t>type=clk; freq=100e6</w:t>
      </w:r>
      <w:r w:rsidR="001A4D45">
        <w:rPr>
          <w:lang w:val="en-US"/>
        </w:rPr>
        <w:t xml:space="preserve"> $$</w:t>
      </w:r>
      <w:r>
        <w:rPr>
          <w:lang w:val="en-US"/>
        </w:rPr>
        <w:br/>
        <w:t>InRst : in std_logic; -- $$ type=rst; clk=InClk $$</w:t>
      </w:r>
    </w:p>
    <w:p w:rsidR="00B42D3B" w:rsidRDefault="00B42D3B" w:rsidP="00B42D3B">
      <w:pPr>
        <w:pStyle w:val="Heading4"/>
        <w:rPr>
          <w:lang w:val="en-US"/>
        </w:rPr>
      </w:pPr>
      <w:r>
        <w:rPr>
          <w:lang w:val="en-US"/>
        </w:rPr>
        <w:t>FREQ</w:t>
      </w:r>
    </w:p>
    <w:p w:rsidR="00B42D3B" w:rsidRDefault="00B42D3B" w:rsidP="00B42D3B">
      <w:pPr>
        <w:rPr>
          <w:b/>
          <w:lang w:val="en-US"/>
        </w:rPr>
      </w:pPr>
      <w:r>
        <w:rPr>
          <w:b/>
          <w:lang w:val="en-US"/>
        </w:rPr>
        <w:t>Purpose</w:t>
      </w:r>
    </w:p>
    <w:p w:rsidR="00B42D3B" w:rsidRPr="00B42D3B" w:rsidRDefault="00B42D3B" w:rsidP="00B42D3B">
      <w:pPr>
        <w:rPr>
          <w:lang w:val="en-US"/>
        </w:rPr>
      </w:pPr>
      <w:r>
        <w:rPr>
          <w:lang w:val="en-US"/>
        </w:rPr>
        <w:t xml:space="preserve">This tag allows specifying the frequency of clock inputs. It always appears together with </w:t>
      </w:r>
      <w:r>
        <w:rPr>
          <w:i/>
          <w:lang w:val="en-US"/>
        </w:rPr>
        <w:t>type=clk</w:t>
      </w:r>
      <w:r>
        <w:rPr>
          <w:lang w:val="en-US"/>
        </w:rPr>
        <w:t>.</w:t>
      </w:r>
    </w:p>
    <w:p w:rsidR="00B42D3B" w:rsidRDefault="00B42D3B" w:rsidP="00B42D3B">
      <w:pPr>
        <w:rPr>
          <w:b/>
          <w:lang w:val="en-US"/>
        </w:rPr>
      </w:pPr>
      <w:r>
        <w:rPr>
          <w:b/>
          <w:lang w:val="en-US"/>
        </w:rPr>
        <w:t>Optional</w:t>
      </w:r>
    </w:p>
    <w:p w:rsidR="00B42D3B" w:rsidRPr="00B42D3B" w:rsidRDefault="00B42D3B" w:rsidP="00B42D3B">
      <w:pPr>
        <w:overflowPunct/>
        <w:autoSpaceDE/>
        <w:autoSpaceDN/>
        <w:adjustRightInd/>
        <w:spacing w:after="200" w:line="276" w:lineRule="auto"/>
        <w:jc w:val="left"/>
        <w:textAlignment w:val="auto"/>
        <w:rPr>
          <w:i/>
          <w:lang w:val="en-US"/>
        </w:rPr>
      </w:pPr>
      <w:r>
        <w:rPr>
          <w:lang w:val="en-US"/>
        </w:rPr>
        <w:t xml:space="preserve">Yes, but mandatory for ports with </w:t>
      </w:r>
      <w:r>
        <w:rPr>
          <w:i/>
          <w:lang w:val="en-US"/>
        </w:rPr>
        <w:t>type=clk</w:t>
      </w:r>
    </w:p>
    <w:p w:rsidR="00B42D3B" w:rsidRDefault="00B42D3B" w:rsidP="00B42D3B">
      <w:pPr>
        <w:overflowPunct/>
        <w:autoSpaceDE/>
        <w:autoSpaceDN/>
        <w:adjustRightInd/>
        <w:spacing w:after="200" w:line="276" w:lineRule="auto"/>
        <w:jc w:val="left"/>
        <w:textAlignment w:val="auto"/>
        <w:rPr>
          <w:b/>
          <w:lang w:val="en-US"/>
        </w:rPr>
      </w:pPr>
      <w:r>
        <w:rPr>
          <w:b/>
          <w:lang w:val="en-US"/>
        </w:rPr>
        <w:t>Example</w:t>
      </w:r>
    </w:p>
    <w:p w:rsidR="00B42D3B" w:rsidRPr="00B42D3B" w:rsidRDefault="00B42D3B" w:rsidP="00B42D3B">
      <w:pPr>
        <w:shd w:val="clear" w:color="auto" w:fill="D9D9D9" w:themeFill="background1" w:themeFillShade="D9"/>
        <w:spacing w:before="240" w:after="240"/>
        <w:jc w:val="left"/>
        <w:rPr>
          <w:lang w:val="en-US"/>
        </w:rPr>
      </w:pPr>
      <w:r>
        <w:rPr>
          <w:lang w:val="en-US"/>
        </w:rPr>
        <w:t>InClk : in std_logic; -- $$ type=clk; freq=100e6 $$</w:t>
      </w:r>
    </w:p>
    <w:p w:rsidR="00B42D3B" w:rsidRDefault="00B42D3B" w:rsidP="00B42D3B">
      <w:pPr>
        <w:pStyle w:val="Heading4"/>
        <w:pageBreakBefore/>
        <w:ind w:left="862" w:hanging="862"/>
        <w:rPr>
          <w:lang w:val="en-US"/>
        </w:rPr>
      </w:pPr>
      <w:r>
        <w:rPr>
          <w:lang w:val="en-US"/>
        </w:rPr>
        <w:lastRenderedPageBreak/>
        <w:t>CLK</w:t>
      </w:r>
    </w:p>
    <w:p w:rsidR="00B42D3B" w:rsidRDefault="00B42D3B" w:rsidP="00B42D3B">
      <w:pPr>
        <w:rPr>
          <w:b/>
          <w:lang w:val="en-US"/>
        </w:rPr>
      </w:pPr>
      <w:r>
        <w:rPr>
          <w:b/>
          <w:lang w:val="en-US"/>
        </w:rPr>
        <w:t>Purpose</w:t>
      </w:r>
    </w:p>
    <w:p w:rsidR="00B42D3B" w:rsidRPr="00B42D3B" w:rsidRDefault="00B42D3B" w:rsidP="00B42D3B">
      <w:pPr>
        <w:rPr>
          <w:lang w:val="en-US"/>
        </w:rPr>
      </w:pPr>
      <w:r>
        <w:rPr>
          <w:lang w:val="en-US"/>
        </w:rPr>
        <w:t xml:space="preserve">This tag allows specifying the clock a reset is related to. It always appears together with </w:t>
      </w:r>
      <w:r>
        <w:rPr>
          <w:i/>
          <w:lang w:val="en-US"/>
        </w:rPr>
        <w:t>type=rst</w:t>
      </w:r>
      <w:r>
        <w:rPr>
          <w:lang w:val="en-US"/>
        </w:rPr>
        <w:t xml:space="preserve"> and its value must always be the name of a a port with </w:t>
      </w:r>
      <w:r>
        <w:rPr>
          <w:i/>
          <w:lang w:val="en-US"/>
        </w:rPr>
        <w:t>type=clk</w:t>
      </w:r>
      <w:r>
        <w:rPr>
          <w:lang w:val="en-US"/>
        </w:rPr>
        <w:t>.</w:t>
      </w:r>
    </w:p>
    <w:p w:rsidR="00B42D3B" w:rsidRDefault="00B42D3B" w:rsidP="00B42D3B">
      <w:pPr>
        <w:rPr>
          <w:b/>
          <w:lang w:val="en-US"/>
        </w:rPr>
      </w:pPr>
      <w:r>
        <w:rPr>
          <w:b/>
          <w:lang w:val="en-US"/>
        </w:rPr>
        <w:t>Optional</w:t>
      </w:r>
    </w:p>
    <w:p w:rsidR="00B42D3B" w:rsidRPr="00B42D3B" w:rsidRDefault="00B42D3B" w:rsidP="00B42D3B">
      <w:pPr>
        <w:overflowPunct/>
        <w:autoSpaceDE/>
        <w:autoSpaceDN/>
        <w:adjustRightInd/>
        <w:spacing w:after="200" w:line="276" w:lineRule="auto"/>
        <w:jc w:val="left"/>
        <w:textAlignment w:val="auto"/>
        <w:rPr>
          <w:i/>
          <w:lang w:val="en-US"/>
        </w:rPr>
      </w:pPr>
      <w:r>
        <w:rPr>
          <w:lang w:val="en-US"/>
        </w:rPr>
        <w:t xml:space="preserve">Yes, but mandatory for ports with </w:t>
      </w:r>
      <w:r>
        <w:rPr>
          <w:i/>
          <w:lang w:val="en-US"/>
        </w:rPr>
        <w:t>type=rst</w:t>
      </w:r>
    </w:p>
    <w:p w:rsidR="00B42D3B" w:rsidRDefault="00B42D3B" w:rsidP="00B42D3B">
      <w:pPr>
        <w:overflowPunct/>
        <w:autoSpaceDE/>
        <w:autoSpaceDN/>
        <w:adjustRightInd/>
        <w:spacing w:after="200" w:line="276" w:lineRule="auto"/>
        <w:jc w:val="left"/>
        <w:textAlignment w:val="auto"/>
        <w:rPr>
          <w:b/>
          <w:lang w:val="en-US"/>
        </w:rPr>
      </w:pPr>
      <w:r>
        <w:rPr>
          <w:b/>
          <w:lang w:val="en-US"/>
        </w:rPr>
        <w:t>Example</w:t>
      </w:r>
    </w:p>
    <w:p w:rsidR="00B42D3B" w:rsidRPr="00B42D3B" w:rsidRDefault="00B42D3B" w:rsidP="00B42D3B">
      <w:pPr>
        <w:shd w:val="clear" w:color="auto" w:fill="D9D9D9" w:themeFill="background1" w:themeFillShade="D9"/>
        <w:spacing w:before="240" w:after="240"/>
        <w:jc w:val="left"/>
        <w:rPr>
          <w:lang w:val="en-US"/>
        </w:rPr>
      </w:pPr>
      <w:r>
        <w:rPr>
          <w:lang w:val="en-US"/>
        </w:rPr>
        <w:t>InRst : in std_logic; -- $$ type=rst; clk=InClk $$</w:t>
      </w:r>
    </w:p>
    <w:p w:rsidR="00B42D3B" w:rsidRDefault="00B42D3B" w:rsidP="00B42D3B">
      <w:pPr>
        <w:pStyle w:val="Heading4"/>
        <w:ind w:left="862" w:hanging="862"/>
        <w:rPr>
          <w:lang w:val="en-US"/>
        </w:rPr>
      </w:pPr>
      <w:r>
        <w:rPr>
          <w:lang w:val="en-US"/>
        </w:rPr>
        <w:t>PROC</w:t>
      </w:r>
    </w:p>
    <w:p w:rsidR="00B42D3B" w:rsidRDefault="00B42D3B" w:rsidP="00B42D3B">
      <w:pPr>
        <w:rPr>
          <w:b/>
          <w:lang w:val="en-US"/>
        </w:rPr>
      </w:pPr>
      <w:r>
        <w:rPr>
          <w:b/>
          <w:lang w:val="en-US"/>
        </w:rPr>
        <w:t>Purpose</w:t>
      </w:r>
    </w:p>
    <w:p w:rsidR="00B42D3B" w:rsidRDefault="00B42D3B" w:rsidP="00B42D3B">
      <w:pPr>
        <w:rPr>
          <w:lang w:val="en-US"/>
        </w:rPr>
      </w:pPr>
      <w:r>
        <w:rPr>
          <w:lang w:val="en-US"/>
        </w:rPr>
        <w:t xml:space="preserve">This tag is only important for multi-case test-benches. In such test-benches, procedures are called for executing the functionality of one process for one specific test-case. Therefore it must be known which signals are driven by which processes. This information can be given with the </w:t>
      </w:r>
      <w:r>
        <w:rPr>
          <w:i/>
          <w:lang w:val="en-US"/>
        </w:rPr>
        <w:t>PROC</w:t>
      </w:r>
      <w:r>
        <w:rPr>
          <w:lang w:val="en-US"/>
        </w:rPr>
        <w:t xml:space="preserve"> tag.</w:t>
      </w:r>
    </w:p>
    <w:p w:rsidR="00B42D3B" w:rsidRPr="00B42D3B" w:rsidRDefault="00B42D3B" w:rsidP="00B42D3B">
      <w:pPr>
        <w:rPr>
          <w:lang w:val="en-US"/>
        </w:rPr>
      </w:pPr>
      <w:r>
        <w:rPr>
          <w:lang w:val="en-US"/>
        </w:rPr>
        <w:t xml:space="preserve">The value must be one of the process names defined using </w:t>
      </w:r>
      <w:r>
        <w:rPr>
          <w:i/>
          <w:lang w:val="en-US"/>
        </w:rPr>
        <w:t>PROCESSES</w:t>
      </w:r>
      <w:r>
        <w:rPr>
          <w:lang w:val="en-US"/>
        </w:rPr>
        <w:t>. The value can also be a list of process names. For output signals the signal is an input to all processes in the list case, for input signals, the signal is available to all processes but only driven by the first one in the list.</w:t>
      </w:r>
    </w:p>
    <w:p w:rsidR="00B42D3B" w:rsidRDefault="00B42D3B" w:rsidP="00B42D3B">
      <w:pPr>
        <w:rPr>
          <w:b/>
          <w:lang w:val="en-US"/>
        </w:rPr>
      </w:pPr>
      <w:r>
        <w:rPr>
          <w:b/>
          <w:lang w:val="en-US"/>
        </w:rPr>
        <w:t>Optional</w:t>
      </w:r>
    </w:p>
    <w:p w:rsidR="00B42D3B" w:rsidRPr="00B42D3B" w:rsidRDefault="00B42D3B" w:rsidP="00B42D3B">
      <w:pPr>
        <w:overflowPunct/>
        <w:autoSpaceDE/>
        <w:autoSpaceDN/>
        <w:adjustRightInd/>
        <w:spacing w:after="200" w:line="276" w:lineRule="auto"/>
        <w:jc w:val="left"/>
        <w:textAlignment w:val="auto"/>
        <w:rPr>
          <w:i/>
          <w:lang w:val="en-US"/>
        </w:rPr>
      </w:pPr>
      <w:r>
        <w:rPr>
          <w:lang w:val="en-US"/>
        </w:rPr>
        <w:t>Yes, only required for multi-case test-benches.</w:t>
      </w:r>
    </w:p>
    <w:p w:rsidR="00B42D3B" w:rsidRDefault="00B42D3B" w:rsidP="00B42D3B">
      <w:pPr>
        <w:overflowPunct/>
        <w:autoSpaceDE/>
        <w:autoSpaceDN/>
        <w:adjustRightInd/>
        <w:spacing w:after="200" w:line="276" w:lineRule="auto"/>
        <w:jc w:val="left"/>
        <w:textAlignment w:val="auto"/>
        <w:rPr>
          <w:b/>
          <w:lang w:val="en-US"/>
        </w:rPr>
      </w:pPr>
      <w:r>
        <w:rPr>
          <w:b/>
          <w:lang w:val="en-US"/>
        </w:rPr>
        <w:t>Example</w:t>
      </w:r>
    </w:p>
    <w:p w:rsidR="00B42D3B" w:rsidRPr="00B42D3B" w:rsidRDefault="00B42D3B" w:rsidP="00B42D3B">
      <w:pPr>
        <w:shd w:val="clear" w:color="auto" w:fill="D9D9D9" w:themeFill="background1" w:themeFillShade="D9"/>
        <w:spacing w:before="240" w:after="240"/>
        <w:jc w:val="left"/>
        <w:rPr>
          <w:lang w:val="en-US"/>
        </w:rPr>
      </w:pPr>
      <w:r>
        <w:rPr>
          <w:lang w:val="en-US"/>
        </w:rPr>
        <w:t>SomePort : in std_logic; -- $$ proc=stimuli,response $$</w:t>
      </w:r>
    </w:p>
    <w:p w:rsidR="001A4D45" w:rsidRDefault="001A4D45" w:rsidP="001A4D45">
      <w:pPr>
        <w:overflowPunct/>
        <w:autoSpaceDE/>
        <w:autoSpaceDN/>
        <w:adjustRightInd/>
        <w:spacing w:after="200" w:line="276" w:lineRule="auto"/>
        <w:jc w:val="left"/>
        <w:textAlignment w:val="auto"/>
        <w:rPr>
          <w:lang w:val="en-US"/>
        </w:rPr>
      </w:pPr>
    </w:p>
    <w:p w:rsidR="001A4D45" w:rsidRPr="001A4D45" w:rsidRDefault="001A4D45" w:rsidP="001A4D45">
      <w:pPr>
        <w:rPr>
          <w:lang w:val="en-US"/>
        </w:rPr>
      </w:pPr>
    </w:p>
    <w:p w:rsidR="001A4D45" w:rsidRPr="001A4D45" w:rsidRDefault="001A4D45" w:rsidP="001A4D45">
      <w:pPr>
        <w:rPr>
          <w:lang w:val="en-US"/>
        </w:rPr>
      </w:pPr>
    </w:p>
    <w:p w:rsidR="00A80C57" w:rsidRPr="00A80C57" w:rsidRDefault="00A80C57" w:rsidP="00A80C57">
      <w:pPr>
        <w:rPr>
          <w:lang w:val="en-US"/>
        </w:rPr>
      </w:pPr>
    </w:p>
    <w:p w:rsidR="00800E6C" w:rsidRDefault="00800E6C" w:rsidP="00B42D3B">
      <w:pPr>
        <w:pStyle w:val="Heading1"/>
        <w:pageBreakBefore/>
        <w:ind w:left="431" w:hanging="431"/>
        <w:rPr>
          <w:lang w:val="en-US"/>
        </w:rPr>
      </w:pPr>
      <w:bookmarkStart w:id="14" w:name="_Toc514846142"/>
      <w:r>
        <w:rPr>
          <w:lang w:val="en-US"/>
        </w:rPr>
        <w:lastRenderedPageBreak/>
        <w:t>Tips &amp; Tricks</w:t>
      </w:r>
      <w:bookmarkEnd w:id="14"/>
    </w:p>
    <w:p w:rsidR="00800E6C" w:rsidRDefault="00800E6C" w:rsidP="00800E6C">
      <w:pPr>
        <w:pStyle w:val="Heading2"/>
        <w:rPr>
          <w:lang w:val="en-US"/>
        </w:rPr>
      </w:pPr>
      <w:bookmarkStart w:id="15" w:name="_Toc514846143"/>
      <w:r>
        <w:rPr>
          <w:lang w:val="en-US"/>
        </w:rPr>
        <w:t>Inter-Procedure Communication in Packages</w:t>
      </w:r>
      <w:bookmarkEnd w:id="15"/>
    </w:p>
    <w:p w:rsidR="00B42D3B" w:rsidRPr="00B42D3B" w:rsidRDefault="00B42D3B" w:rsidP="00B42D3B">
      <w:pPr>
        <w:rPr>
          <w:lang w:val="en-US"/>
        </w:rPr>
      </w:pPr>
      <w:r>
        <w:rPr>
          <w:lang w:val="en-US"/>
        </w:rPr>
        <w:t xml:space="preserve">For multi-case test-benches, all functionality is wrapped in procedures. If communication between two procedures within a test-case package is required (e.g. because the response checking procedure needs to wait until the configuration procedure as completed), </w:t>
      </w:r>
      <w:r>
        <w:rPr>
          <w:i/>
          <w:lang w:val="en-US"/>
        </w:rPr>
        <w:t>shared variable</w:t>
      </w:r>
      <w:r>
        <w:rPr>
          <w:lang w:val="en-US"/>
        </w:rPr>
        <w:t xml:space="preserve"> are the way to go. </w:t>
      </w:r>
      <w:r>
        <w:rPr>
          <w:i/>
          <w:lang w:val="en-US"/>
        </w:rPr>
        <w:t>Shared variables</w:t>
      </w:r>
      <w:r>
        <w:rPr>
          <w:lang w:val="en-US"/>
        </w:rPr>
        <w:t xml:space="preserve"> can be defined in the scope of a package and accessed by all procedures within that package.</w:t>
      </w:r>
    </w:p>
    <w:sectPr w:rsidR="00B42D3B" w:rsidRPr="00B42D3B" w:rsidSect="002E7A28">
      <w:headerReference w:type="default" r:id="rId9"/>
      <w:footerReference w:type="default" r:id="rId10"/>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8E8" w:rsidRDefault="001328E8">
      <w:r>
        <w:separator/>
      </w:r>
    </w:p>
  </w:endnote>
  <w:endnote w:type="continuationSeparator" w:id="0">
    <w:p w:rsidR="001328E8" w:rsidRDefault="00132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221" w:rsidRPr="00B20A69" w:rsidRDefault="00743221">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41FFE63D" wp14:editId="113085B5">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C5EC24"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262D4D">
      <w:rPr>
        <w:noProof/>
        <w:sz w:val="16"/>
        <w:lang w:val="da-DK"/>
      </w:rPr>
      <w:t>TbGenerator.docx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F60C60">
      <w:rPr>
        <w:noProof/>
        <w:sz w:val="16"/>
      </w:rPr>
      <w:t>10.11.2021</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707B88">
      <w:rPr>
        <w:rFonts w:cs="Arial"/>
        <w:noProof/>
        <w:sz w:val="16"/>
        <w:szCs w:val="16"/>
      </w:rPr>
      <w:t>7</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8E8" w:rsidRDefault="001328E8">
      <w:r>
        <w:separator/>
      </w:r>
    </w:p>
  </w:footnote>
  <w:footnote w:type="continuationSeparator" w:id="0">
    <w:p w:rsidR="001328E8" w:rsidRDefault="00132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221" w:rsidRDefault="00743221">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D33D27"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4"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6"/>
  </w:num>
  <w:num w:numId="3">
    <w:abstractNumId w:val="4"/>
  </w:num>
  <w:num w:numId="4">
    <w:abstractNumId w:val="7"/>
  </w:num>
  <w:num w:numId="5">
    <w:abstractNumId w:val="2"/>
  </w:num>
  <w:num w:numId="6">
    <w:abstractNumId w:val="22"/>
  </w:num>
  <w:num w:numId="7">
    <w:abstractNumId w:val="16"/>
  </w:num>
  <w:num w:numId="8">
    <w:abstractNumId w:val="0"/>
  </w:num>
  <w:num w:numId="9">
    <w:abstractNumId w:val="19"/>
  </w:num>
  <w:num w:numId="10">
    <w:abstractNumId w:val="24"/>
  </w:num>
  <w:num w:numId="11">
    <w:abstractNumId w:val="17"/>
  </w:num>
  <w:num w:numId="12">
    <w:abstractNumId w:val="15"/>
  </w:num>
  <w:num w:numId="13">
    <w:abstractNumId w:val="23"/>
  </w:num>
  <w:num w:numId="14">
    <w:abstractNumId w:val="11"/>
  </w:num>
  <w:num w:numId="15">
    <w:abstractNumId w:val="14"/>
  </w:num>
  <w:num w:numId="16">
    <w:abstractNumId w:val="12"/>
  </w:num>
  <w:num w:numId="17">
    <w:abstractNumId w:val="3"/>
  </w:num>
  <w:num w:numId="18">
    <w:abstractNumId w:val="21"/>
  </w:num>
  <w:num w:numId="19">
    <w:abstractNumId w:val="9"/>
  </w:num>
  <w:num w:numId="20">
    <w:abstractNumId w:val="20"/>
  </w:num>
  <w:num w:numId="21">
    <w:abstractNumId w:val="5"/>
  </w:num>
  <w:num w:numId="22">
    <w:abstractNumId w:val="1"/>
  </w:num>
  <w:num w:numId="23">
    <w:abstractNumId w:val="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21B6"/>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328E8"/>
    <w:rsid w:val="00141EF9"/>
    <w:rsid w:val="00152D8D"/>
    <w:rsid w:val="00153B1C"/>
    <w:rsid w:val="00162235"/>
    <w:rsid w:val="00163B4A"/>
    <w:rsid w:val="00164F98"/>
    <w:rsid w:val="00166FE2"/>
    <w:rsid w:val="0017472D"/>
    <w:rsid w:val="001748D1"/>
    <w:rsid w:val="00182270"/>
    <w:rsid w:val="00183C9B"/>
    <w:rsid w:val="001852BE"/>
    <w:rsid w:val="001863B4"/>
    <w:rsid w:val="00194C40"/>
    <w:rsid w:val="00195A1B"/>
    <w:rsid w:val="0019690E"/>
    <w:rsid w:val="00197D80"/>
    <w:rsid w:val="001A1EE4"/>
    <w:rsid w:val="001A346F"/>
    <w:rsid w:val="001A3A79"/>
    <w:rsid w:val="001A4D45"/>
    <w:rsid w:val="001A60A2"/>
    <w:rsid w:val="001B0412"/>
    <w:rsid w:val="001B3746"/>
    <w:rsid w:val="001B71EF"/>
    <w:rsid w:val="001C02BA"/>
    <w:rsid w:val="001C61FB"/>
    <w:rsid w:val="001C7637"/>
    <w:rsid w:val="001D0092"/>
    <w:rsid w:val="001D01BA"/>
    <w:rsid w:val="001D77AF"/>
    <w:rsid w:val="001D7CFC"/>
    <w:rsid w:val="001E013D"/>
    <w:rsid w:val="001E1B04"/>
    <w:rsid w:val="001E4196"/>
    <w:rsid w:val="001F023F"/>
    <w:rsid w:val="001F4655"/>
    <w:rsid w:val="001F5EB2"/>
    <w:rsid w:val="001F7D6A"/>
    <w:rsid w:val="002000F5"/>
    <w:rsid w:val="00200208"/>
    <w:rsid w:val="002006AC"/>
    <w:rsid w:val="00206634"/>
    <w:rsid w:val="0022252B"/>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62D4D"/>
    <w:rsid w:val="00272D1B"/>
    <w:rsid w:val="00273D05"/>
    <w:rsid w:val="00274931"/>
    <w:rsid w:val="0028129D"/>
    <w:rsid w:val="00281F84"/>
    <w:rsid w:val="00282A68"/>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6874"/>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5B54"/>
    <w:rsid w:val="003C6F01"/>
    <w:rsid w:val="003D160B"/>
    <w:rsid w:val="003D386A"/>
    <w:rsid w:val="003E007C"/>
    <w:rsid w:val="003E3A4E"/>
    <w:rsid w:val="003E5521"/>
    <w:rsid w:val="003E75D0"/>
    <w:rsid w:val="003F10E4"/>
    <w:rsid w:val="003F4BFC"/>
    <w:rsid w:val="003F5820"/>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17F8"/>
    <w:rsid w:val="005727A1"/>
    <w:rsid w:val="00576946"/>
    <w:rsid w:val="00577DBB"/>
    <w:rsid w:val="00580339"/>
    <w:rsid w:val="0058060F"/>
    <w:rsid w:val="005809F2"/>
    <w:rsid w:val="00584ACB"/>
    <w:rsid w:val="00591F5B"/>
    <w:rsid w:val="00592576"/>
    <w:rsid w:val="00594B97"/>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07A9"/>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07B88"/>
    <w:rsid w:val="00711A7A"/>
    <w:rsid w:val="00714E7A"/>
    <w:rsid w:val="00715572"/>
    <w:rsid w:val="00720306"/>
    <w:rsid w:val="007231AB"/>
    <w:rsid w:val="00732DFD"/>
    <w:rsid w:val="007336ED"/>
    <w:rsid w:val="00734BDD"/>
    <w:rsid w:val="0073517F"/>
    <w:rsid w:val="00742A73"/>
    <w:rsid w:val="00742EBF"/>
    <w:rsid w:val="00743221"/>
    <w:rsid w:val="00750501"/>
    <w:rsid w:val="0075133B"/>
    <w:rsid w:val="00752541"/>
    <w:rsid w:val="00753324"/>
    <w:rsid w:val="00755660"/>
    <w:rsid w:val="00766D46"/>
    <w:rsid w:val="0077079D"/>
    <w:rsid w:val="00772891"/>
    <w:rsid w:val="00773EDC"/>
    <w:rsid w:val="0077567F"/>
    <w:rsid w:val="00775ACA"/>
    <w:rsid w:val="00776A75"/>
    <w:rsid w:val="00783840"/>
    <w:rsid w:val="00786FCF"/>
    <w:rsid w:val="0078794B"/>
    <w:rsid w:val="00787C10"/>
    <w:rsid w:val="007910CC"/>
    <w:rsid w:val="00791536"/>
    <w:rsid w:val="0079478C"/>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FBE"/>
    <w:rsid w:val="007E4321"/>
    <w:rsid w:val="007E7564"/>
    <w:rsid w:val="007F1C7F"/>
    <w:rsid w:val="007F57FF"/>
    <w:rsid w:val="008000F8"/>
    <w:rsid w:val="00800E6C"/>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487"/>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871"/>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4EEA"/>
    <w:rsid w:val="009A51C5"/>
    <w:rsid w:val="009A61A3"/>
    <w:rsid w:val="009B0633"/>
    <w:rsid w:val="009B3A29"/>
    <w:rsid w:val="009B3FBF"/>
    <w:rsid w:val="009B4F66"/>
    <w:rsid w:val="009B6390"/>
    <w:rsid w:val="009B65BA"/>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76F70"/>
    <w:rsid w:val="00A80C57"/>
    <w:rsid w:val="00A847B1"/>
    <w:rsid w:val="00A86A9A"/>
    <w:rsid w:val="00A91537"/>
    <w:rsid w:val="00A92A23"/>
    <w:rsid w:val="00A95C21"/>
    <w:rsid w:val="00AA3342"/>
    <w:rsid w:val="00AA42DA"/>
    <w:rsid w:val="00AA6F76"/>
    <w:rsid w:val="00AB0211"/>
    <w:rsid w:val="00AB3924"/>
    <w:rsid w:val="00AB6CC1"/>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2D3B"/>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7FF0"/>
    <w:rsid w:val="00DA1090"/>
    <w:rsid w:val="00DA25D1"/>
    <w:rsid w:val="00DA3C6F"/>
    <w:rsid w:val="00DA425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4345"/>
    <w:rsid w:val="00E65A5E"/>
    <w:rsid w:val="00E70370"/>
    <w:rsid w:val="00E72416"/>
    <w:rsid w:val="00E7284C"/>
    <w:rsid w:val="00E759DB"/>
    <w:rsid w:val="00E82CE3"/>
    <w:rsid w:val="00E83334"/>
    <w:rsid w:val="00E8364E"/>
    <w:rsid w:val="00E85653"/>
    <w:rsid w:val="00E86ACD"/>
    <w:rsid w:val="00E872B5"/>
    <w:rsid w:val="00E90F5F"/>
    <w:rsid w:val="00E9292A"/>
    <w:rsid w:val="00E93339"/>
    <w:rsid w:val="00E934BD"/>
    <w:rsid w:val="00E95387"/>
    <w:rsid w:val="00E95DE2"/>
    <w:rsid w:val="00E97D9D"/>
    <w:rsid w:val="00EA1202"/>
    <w:rsid w:val="00EA7D28"/>
    <w:rsid w:val="00EB0A07"/>
    <w:rsid w:val="00EB3AFE"/>
    <w:rsid w:val="00EB3B42"/>
    <w:rsid w:val="00EC11A1"/>
    <w:rsid w:val="00EC4068"/>
    <w:rsid w:val="00EC752F"/>
    <w:rsid w:val="00EE32D5"/>
    <w:rsid w:val="00EE4F94"/>
    <w:rsid w:val="00EE575E"/>
    <w:rsid w:val="00EE7ABA"/>
    <w:rsid w:val="00EF0941"/>
    <w:rsid w:val="00EF268D"/>
    <w:rsid w:val="00EF42AC"/>
    <w:rsid w:val="00EF532D"/>
    <w:rsid w:val="00EF61D1"/>
    <w:rsid w:val="00EF7ED8"/>
    <w:rsid w:val="00F00154"/>
    <w:rsid w:val="00F03A03"/>
    <w:rsid w:val="00F0403B"/>
    <w:rsid w:val="00F0663A"/>
    <w:rsid w:val="00F07FAE"/>
    <w:rsid w:val="00F10EA7"/>
    <w:rsid w:val="00F14423"/>
    <w:rsid w:val="00F154F0"/>
    <w:rsid w:val="00F15B98"/>
    <w:rsid w:val="00F15CB3"/>
    <w:rsid w:val="00F2102D"/>
    <w:rsid w:val="00F22BC0"/>
    <w:rsid w:val="00F232EF"/>
    <w:rsid w:val="00F24E37"/>
    <w:rsid w:val="00F24FDC"/>
    <w:rsid w:val="00F257EA"/>
    <w:rsid w:val="00F30E31"/>
    <w:rsid w:val="00F33336"/>
    <w:rsid w:val="00F528BC"/>
    <w:rsid w:val="00F60C60"/>
    <w:rsid w:val="00F6209D"/>
    <w:rsid w:val="00F63219"/>
    <w:rsid w:val="00F67819"/>
    <w:rsid w:val="00F70B08"/>
    <w:rsid w:val="00F71154"/>
    <w:rsid w:val="00F80BB3"/>
    <w:rsid w:val="00F84C28"/>
    <w:rsid w:val="00F944A9"/>
    <w:rsid w:val="00F97FE0"/>
    <w:rsid w:val="00FA1BC5"/>
    <w:rsid w:val="00FA303C"/>
    <w:rsid w:val="00FA3D38"/>
    <w:rsid w:val="00FA52F1"/>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7E8CDA5"/>
  <w14:defaultImageDpi w14:val="0"/>
  <w15:docId w15:val="{E94B956C-4773-49E4-938F-047ACA31F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CBD6B-A3A4-4825-8660-B28747E60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1654</Words>
  <Characters>10427</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Schmid Elmar</cp:lastModifiedBy>
  <cp:revision>93</cp:revision>
  <cp:lastPrinted>2018-05-23T11:40:00Z</cp:lastPrinted>
  <dcterms:created xsi:type="dcterms:W3CDTF">2018-01-03T08:19:00Z</dcterms:created>
  <dcterms:modified xsi:type="dcterms:W3CDTF">2021-11-10T11:37:00Z</dcterms:modified>
</cp:coreProperties>
</file>