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7E23C5"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5269520" w:history="1">
        <w:r w:rsidR="007E23C5" w:rsidRPr="009E60B8">
          <w:rPr>
            <w:rStyle w:val="Hyperlink"/>
            <w:noProof/>
            <w:lang w:val="en-US"/>
          </w:rPr>
          <w:t>1</w:t>
        </w:r>
        <w:r w:rsidR="007E23C5">
          <w:rPr>
            <w:rFonts w:asciiTheme="minorHAnsi" w:eastAsiaTheme="minorEastAsia" w:hAnsiTheme="minorHAnsi" w:cstheme="minorBidi"/>
            <w:noProof/>
            <w:sz w:val="22"/>
            <w:szCs w:val="22"/>
            <w:lang w:eastAsia="de-CH"/>
          </w:rPr>
          <w:tab/>
        </w:r>
        <w:r w:rsidR="007E23C5" w:rsidRPr="009E60B8">
          <w:rPr>
            <w:rStyle w:val="Hyperlink"/>
            <w:noProof/>
            <w:lang w:val="en-US"/>
          </w:rPr>
          <w:t>Introduction</w:t>
        </w:r>
        <w:r w:rsidR="007E23C5">
          <w:rPr>
            <w:noProof/>
            <w:webHidden/>
          </w:rPr>
          <w:tab/>
        </w:r>
        <w:r w:rsidR="007E23C5">
          <w:rPr>
            <w:noProof/>
            <w:webHidden/>
          </w:rPr>
          <w:fldChar w:fldCharType="begin"/>
        </w:r>
        <w:r w:rsidR="007E23C5">
          <w:rPr>
            <w:noProof/>
            <w:webHidden/>
          </w:rPr>
          <w:instrText xml:space="preserve"> PAGEREF _Toc515269520 \h </w:instrText>
        </w:r>
        <w:r w:rsidR="007E23C5">
          <w:rPr>
            <w:noProof/>
            <w:webHidden/>
          </w:rPr>
        </w:r>
        <w:r w:rsidR="007E23C5">
          <w:rPr>
            <w:noProof/>
            <w:webHidden/>
          </w:rPr>
          <w:fldChar w:fldCharType="separate"/>
        </w:r>
        <w:r w:rsidR="007E23C5">
          <w:rPr>
            <w:noProof/>
            <w:webHidden/>
          </w:rPr>
          <w:t>4</w:t>
        </w:r>
        <w:r w:rsidR="007E23C5">
          <w:rPr>
            <w:noProof/>
            <w:webHidden/>
          </w:rPr>
          <w:fldChar w:fldCharType="end"/>
        </w:r>
      </w:hyperlink>
    </w:p>
    <w:p w:rsidR="007E23C5" w:rsidRDefault="007E23C5">
      <w:pPr>
        <w:pStyle w:val="TOC1"/>
        <w:rPr>
          <w:rFonts w:asciiTheme="minorHAnsi" w:eastAsiaTheme="minorEastAsia" w:hAnsiTheme="minorHAnsi" w:cstheme="minorBidi"/>
          <w:noProof/>
          <w:sz w:val="22"/>
          <w:szCs w:val="22"/>
          <w:lang w:eastAsia="de-CH"/>
        </w:rPr>
      </w:pPr>
      <w:hyperlink w:anchor="_Toc515269521" w:history="1">
        <w:r w:rsidRPr="009E60B8">
          <w:rPr>
            <w:rStyle w:val="Hyperlink"/>
            <w:noProof/>
            <w:lang w:val="en-US"/>
          </w:rPr>
          <w:t>2</w:t>
        </w:r>
        <w:r>
          <w:rPr>
            <w:rFonts w:asciiTheme="minorHAnsi" w:eastAsiaTheme="minorEastAsia" w:hAnsiTheme="minorHAnsi" w:cstheme="minorBidi"/>
            <w:noProof/>
            <w:sz w:val="22"/>
            <w:szCs w:val="22"/>
            <w:lang w:eastAsia="de-CH"/>
          </w:rPr>
          <w:tab/>
        </w:r>
        <w:r w:rsidRPr="009E60B8">
          <w:rPr>
            <w:rStyle w:val="Hyperlink"/>
            <w:noProof/>
            <w:lang w:val="en-US"/>
          </w:rPr>
          <w:t>Tipps &amp; Tricks</w:t>
        </w:r>
        <w:r>
          <w:rPr>
            <w:noProof/>
            <w:webHidden/>
          </w:rPr>
          <w:tab/>
        </w:r>
        <w:r>
          <w:rPr>
            <w:noProof/>
            <w:webHidden/>
          </w:rPr>
          <w:fldChar w:fldCharType="begin"/>
        </w:r>
        <w:r>
          <w:rPr>
            <w:noProof/>
            <w:webHidden/>
          </w:rPr>
          <w:instrText xml:space="preserve"> PAGEREF _Toc515269521 \h </w:instrText>
        </w:r>
        <w:r>
          <w:rPr>
            <w:noProof/>
            <w:webHidden/>
          </w:rPr>
        </w:r>
        <w:r>
          <w:rPr>
            <w:noProof/>
            <w:webHidden/>
          </w:rPr>
          <w:fldChar w:fldCharType="separate"/>
        </w:r>
        <w:r>
          <w:rPr>
            <w:noProof/>
            <w:webHidden/>
          </w:rPr>
          <w:t>4</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2" w:history="1">
        <w:r w:rsidRPr="009E60B8">
          <w:rPr>
            <w:rStyle w:val="Hyperlink"/>
            <w:noProof/>
            <w:lang w:val="en-US"/>
          </w:rPr>
          <w:t>2.1</w:t>
        </w:r>
        <w:r>
          <w:rPr>
            <w:rFonts w:asciiTheme="minorHAnsi" w:eastAsiaTheme="minorEastAsia" w:hAnsiTheme="minorHAnsi" w:cstheme="minorBidi"/>
            <w:noProof/>
            <w:sz w:val="22"/>
            <w:szCs w:val="22"/>
            <w:lang w:eastAsia="de-CH"/>
          </w:rPr>
          <w:tab/>
        </w:r>
        <w:r w:rsidRPr="009E60B8">
          <w:rPr>
            <w:rStyle w:val="Hyperlink"/>
            <w:noProof/>
            <w:lang w:val="en-US"/>
          </w:rPr>
          <w:t>Library Setup</w:t>
        </w:r>
        <w:r>
          <w:rPr>
            <w:noProof/>
            <w:webHidden/>
          </w:rPr>
          <w:tab/>
        </w:r>
        <w:r>
          <w:rPr>
            <w:noProof/>
            <w:webHidden/>
          </w:rPr>
          <w:fldChar w:fldCharType="begin"/>
        </w:r>
        <w:r>
          <w:rPr>
            <w:noProof/>
            <w:webHidden/>
          </w:rPr>
          <w:instrText xml:space="preserve"> PAGEREF _Toc515269522 \h </w:instrText>
        </w:r>
        <w:r>
          <w:rPr>
            <w:noProof/>
            <w:webHidden/>
          </w:rPr>
        </w:r>
        <w:r>
          <w:rPr>
            <w:noProof/>
            <w:webHidden/>
          </w:rPr>
          <w:fldChar w:fldCharType="separate"/>
        </w:r>
        <w:r>
          <w:rPr>
            <w:noProof/>
            <w:webHidden/>
          </w:rPr>
          <w:t>4</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3" w:history="1">
        <w:r w:rsidRPr="009E60B8">
          <w:rPr>
            <w:rStyle w:val="Hyperlink"/>
            <w:noProof/>
            <w:lang w:val="en-US"/>
          </w:rPr>
          <w:t>2.2</w:t>
        </w:r>
        <w:r>
          <w:rPr>
            <w:rFonts w:asciiTheme="minorHAnsi" w:eastAsiaTheme="minorEastAsia" w:hAnsiTheme="minorHAnsi" w:cstheme="minorBidi"/>
            <w:noProof/>
            <w:sz w:val="22"/>
            <w:szCs w:val="22"/>
            <w:lang w:eastAsia="de-CH"/>
          </w:rPr>
          <w:tab/>
        </w:r>
        <w:r w:rsidRPr="009E60B8">
          <w:rPr>
            <w:rStyle w:val="Hyperlink"/>
            <w:noProof/>
            <w:lang w:val="en-US"/>
          </w:rPr>
          <w:t>Heavy Pipelining</w:t>
        </w:r>
        <w:r>
          <w:rPr>
            <w:noProof/>
            <w:webHidden/>
          </w:rPr>
          <w:tab/>
        </w:r>
        <w:r>
          <w:rPr>
            <w:noProof/>
            <w:webHidden/>
          </w:rPr>
          <w:fldChar w:fldCharType="begin"/>
        </w:r>
        <w:r>
          <w:rPr>
            <w:noProof/>
            <w:webHidden/>
          </w:rPr>
          <w:instrText xml:space="preserve"> PAGEREF _Toc515269523 \h </w:instrText>
        </w:r>
        <w:r>
          <w:rPr>
            <w:noProof/>
            <w:webHidden/>
          </w:rPr>
        </w:r>
        <w:r>
          <w:rPr>
            <w:noProof/>
            <w:webHidden/>
          </w:rPr>
          <w:fldChar w:fldCharType="separate"/>
        </w:r>
        <w:r>
          <w:rPr>
            <w:noProof/>
            <w:webHidden/>
          </w:rPr>
          <w:t>4</w:t>
        </w:r>
        <w:r>
          <w:rPr>
            <w:noProof/>
            <w:webHidden/>
          </w:rPr>
          <w:fldChar w:fldCharType="end"/>
        </w:r>
      </w:hyperlink>
    </w:p>
    <w:p w:rsidR="007E23C5" w:rsidRDefault="007E23C5">
      <w:pPr>
        <w:pStyle w:val="TOC1"/>
        <w:rPr>
          <w:rFonts w:asciiTheme="minorHAnsi" w:eastAsiaTheme="minorEastAsia" w:hAnsiTheme="minorHAnsi" w:cstheme="minorBidi"/>
          <w:noProof/>
          <w:sz w:val="22"/>
          <w:szCs w:val="22"/>
          <w:lang w:eastAsia="de-CH"/>
        </w:rPr>
      </w:pPr>
      <w:hyperlink w:anchor="_Toc515269524" w:history="1">
        <w:r w:rsidRPr="009E60B8">
          <w:rPr>
            <w:rStyle w:val="Hyperlink"/>
            <w:noProof/>
            <w:lang w:val="en-US"/>
          </w:rPr>
          <w:t>3</w:t>
        </w:r>
        <w:r>
          <w:rPr>
            <w:rFonts w:asciiTheme="minorHAnsi" w:eastAsiaTheme="minorEastAsia" w:hAnsiTheme="minorHAnsi" w:cstheme="minorBidi"/>
            <w:noProof/>
            <w:sz w:val="22"/>
            <w:szCs w:val="22"/>
            <w:lang w:eastAsia="de-CH"/>
          </w:rPr>
          <w:tab/>
        </w:r>
        <w:r w:rsidRPr="009E60B8">
          <w:rPr>
            <w:rStyle w:val="Hyperlink"/>
            <w:noProof/>
            <w:lang w:val="en-US"/>
          </w:rPr>
          <w:t>RTL Descriptions</w:t>
        </w:r>
        <w:r>
          <w:rPr>
            <w:noProof/>
            <w:webHidden/>
          </w:rPr>
          <w:tab/>
        </w:r>
        <w:r>
          <w:rPr>
            <w:noProof/>
            <w:webHidden/>
          </w:rPr>
          <w:fldChar w:fldCharType="begin"/>
        </w:r>
        <w:r>
          <w:rPr>
            <w:noProof/>
            <w:webHidden/>
          </w:rPr>
          <w:instrText xml:space="preserve"> PAGEREF _Toc515269524 \h </w:instrText>
        </w:r>
        <w:r>
          <w:rPr>
            <w:noProof/>
            <w:webHidden/>
          </w:rPr>
        </w:r>
        <w:r>
          <w:rPr>
            <w:noProof/>
            <w:webHidden/>
          </w:rPr>
          <w:fldChar w:fldCharType="separate"/>
        </w:r>
        <w:r>
          <w:rPr>
            <w:noProof/>
            <w:webHidden/>
          </w:rPr>
          <w:t>8</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5" w:history="1">
        <w:r w:rsidRPr="009E60B8">
          <w:rPr>
            <w:rStyle w:val="Hyperlink"/>
            <w:noProof/>
            <w:lang w:val="en-US"/>
          </w:rPr>
          <w:t>3.1</w:t>
        </w:r>
        <w:r>
          <w:rPr>
            <w:rFonts w:asciiTheme="minorHAnsi" w:eastAsiaTheme="minorEastAsia" w:hAnsiTheme="minorHAnsi" w:cstheme="minorBidi"/>
            <w:noProof/>
            <w:sz w:val="22"/>
            <w:szCs w:val="22"/>
            <w:lang w:eastAsia="de-CH"/>
          </w:rPr>
          <w:tab/>
        </w:r>
        <w:r w:rsidRPr="009E60B8">
          <w:rPr>
            <w:rStyle w:val="Hyperlink"/>
            <w:noProof/>
            <w:lang w:val="en-US"/>
          </w:rPr>
          <w:t>psi_fix_bin_div</w:t>
        </w:r>
        <w:r>
          <w:rPr>
            <w:noProof/>
            <w:webHidden/>
          </w:rPr>
          <w:tab/>
        </w:r>
        <w:r>
          <w:rPr>
            <w:noProof/>
            <w:webHidden/>
          </w:rPr>
          <w:fldChar w:fldCharType="begin"/>
        </w:r>
        <w:r>
          <w:rPr>
            <w:noProof/>
            <w:webHidden/>
          </w:rPr>
          <w:instrText xml:space="preserve"> PAGEREF _Toc515269525 \h </w:instrText>
        </w:r>
        <w:r>
          <w:rPr>
            <w:noProof/>
            <w:webHidden/>
          </w:rPr>
        </w:r>
        <w:r>
          <w:rPr>
            <w:noProof/>
            <w:webHidden/>
          </w:rPr>
          <w:fldChar w:fldCharType="separate"/>
        </w:r>
        <w:r>
          <w:rPr>
            <w:noProof/>
            <w:webHidden/>
          </w:rPr>
          <w:t>8</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6" w:history="1">
        <w:r w:rsidRPr="009E60B8">
          <w:rPr>
            <w:rStyle w:val="Hyperlink"/>
            <w:noProof/>
            <w:lang w:val="en-US"/>
          </w:rPr>
          <w:t>3.2</w:t>
        </w:r>
        <w:r>
          <w:rPr>
            <w:rFonts w:asciiTheme="minorHAnsi" w:eastAsiaTheme="minorEastAsia" w:hAnsiTheme="minorHAnsi" w:cstheme="minorBidi"/>
            <w:noProof/>
            <w:sz w:val="22"/>
            <w:szCs w:val="22"/>
            <w:lang w:eastAsia="de-CH"/>
          </w:rPr>
          <w:tab/>
        </w:r>
        <w:r w:rsidRPr="009E60B8">
          <w:rPr>
            <w:rStyle w:val="Hyperlink"/>
            <w:noProof/>
            <w:lang w:val="en-US"/>
          </w:rPr>
          <w:t>psi_fix_cic_dec_fix_1ch</w:t>
        </w:r>
        <w:r>
          <w:rPr>
            <w:noProof/>
            <w:webHidden/>
          </w:rPr>
          <w:tab/>
        </w:r>
        <w:r>
          <w:rPr>
            <w:noProof/>
            <w:webHidden/>
          </w:rPr>
          <w:fldChar w:fldCharType="begin"/>
        </w:r>
        <w:r>
          <w:rPr>
            <w:noProof/>
            <w:webHidden/>
          </w:rPr>
          <w:instrText xml:space="preserve"> PAGEREF _Toc515269526 \h </w:instrText>
        </w:r>
        <w:r>
          <w:rPr>
            <w:noProof/>
            <w:webHidden/>
          </w:rPr>
        </w:r>
        <w:r>
          <w:rPr>
            <w:noProof/>
            <w:webHidden/>
          </w:rPr>
          <w:fldChar w:fldCharType="separate"/>
        </w:r>
        <w:r>
          <w:rPr>
            <w:noProof/>
            <w:webHidden/>
          </w:rPr>
          <w:t>10</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7" w:history="1">
        <w:r w:rsidRPr="009E60B8">
          <w:rPr>
            <w:rStyle w:val="Hyperlink"/>
            <w:noProof/>
            <w:lang w:val="en-US"/>
          </w:rPr>
          <w:t>3.3</w:t>
        </w:r>
        <w:r>
          <w:rPr>
            <w:rFonts w:asciiTheme="minorHAnsi" w:eastAsiaTheme="minorEastAsia" w:hAnsiTheme="minorHAnsi" w:cstheme="minorBidi"/>
            <w:noProof/>
            <w:sz w:val="22"/>
            <w:szCs w:val="22"/>
            <w:lang w:eastAsia="de-CH"/>
          </w:rPr>
          <w:tab/>
        </w:r>
        <w:r w:rsidRPr="009E60B8">
          <w:rPr>
            <w:rStyle w:val="Hyperlink"/>
            <w:noProof/>
            <w:lang w:val="en-US"/>
          </w:rPr>
          <w:t>psi_fix_cic_int_fix_1ch</w:t>
        </w:r>
        <w:r>
          <w:rPr>
            <w:noProof/>
            <w:webHidden/>
          </w:rPr>
          <w:tab/>
        </w:r>
        <w:r>
          <w:rPr>
            <w:noProof/>
            <w:webHidden/>
          </w:rPr>
          <w:fldChar w:fldCharType="begin"/>
        </w:r>
        <w:r>
          <w:rPr>
            <w:noProof/>
            <w:webHidden/>
          </w:rPr>
          <w:instrText xml:space="preserve"> PAGEREF _Toc515269527 \h </w:instrText>
        </w:r>
        <w:r>
          <w:rPr>
            <w:noProof/>
            <w:webHidden/>
          </w:rPr>
        </w:r>
        <w:r>
          <w:rPr>
            <w:noProof/>
            <w:webHidden/>
          </w:rPr>
          <w:fldChar w:fldCharType="separate"/>
        </w:r>
        <w:r>
          <w:rPr>
            <w:noProof/>
            <w:webHidden/>
          </w:rPr>
          <w:t>12</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8" w:history="1">
        <w:r w:rsidRPr="009E60B8">
          <w:rPr>
            <w:rStyle w:val="Hyperlink"/>
            <w:noProof/>
            <w:lang w:val="en-US"/>
          </w:rPr>
          <w:t>3.4</w:t>
        </w:r>
        <w:r>
          <w:rPr>
            <w:rFonts w:asciiTheme="minorHAnsi" w:eastAsiaTheme="minorEastAsia" w:hAnsiTheme="minorHAnsi" w:cstheme="minorBidi"/>
            <w:noProof/>
            <w:sz w:val="22"/>
            <w:szCs w:val="22"/>
            <w:lang w:eastAsia="de-CH"/>
          </w:rPr>
          <w:tab/>
        </w:r>
        <w:r w:rsidRPr="009E60B8">
          <w:rPr>
            <w:rStyle w:val="Hyperlink"/>
            <w:noProof/>
            <w:lang w:val="en-US"/>
          </w:rPr>
          <w:t>psi_fix_cordic_abs_pl</w:t>
        </w:r>
        <w:r>
          <w:rPr>
            <w:noProof/>
            <w:webHidden/>
          </w:rPr>
          <w:tab/>
        </w:r>
        <w:r>
          <w:rPr>
            <w:noProof/>
            <w:webHidden/>
          </w:rPr>
          <w:fldChar w:fldCharType="begin"/>
        </w:r>
        <w:r>
          <w:rPr>
            <w:noProof/>
            <w:webHidden/>
          </w:rPr>
          <w:instrText xml:space="preserve"> PAGEREF _Toc515269528 \h </w:instrText>
        </w:r>
        <w:r>
          <w:rPr>
            <w:noProof/>
            <w:webHidden/>
          </w:rPr>
        </w:r>
        <w:r>
          <w:rPr>
            <w:noProof/>
            <w:webHidden/>
          </w:rPr>
          <w:fldChar w:fldCharType="separate"/>
        </w:r>
        <w:r>
          <w:rPr>
            <w:noProof/>
            <w:webHidden/>
          </w:rPr>
          <w:t>14</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29" w:history="1">
        <w:r w:rsidRPr="009E60B8">
          <w:rPr>
            <w:rStyle w:val="Hyperlink"/>
            <w:noProof/>
            <w:lang w:val="en-US"/>
          </w:rPr>
          <w:t>3.5</w:t>
        </w:r>
        <w:r>
          <w:rPr>
            <w:rFonts w:asciiTheme="minorHAnsi" w:eastAsiaTheme="minorEastAsia" w:hAnsiTheme="minorHAnsi" w:cstheme="minorBidi"/>
            <w:noProof/>
            <w:sz w:val="22"/>
            <w:szCs w:val="22"/>
            <w:lang w:eastAsia="de-CH"/>
          </w:rPr>
          <w:tab/>
        </w:r>
        <w:r w:rsidRPr="009E60B8">
          <w:rPr>
            <w:rStyle w:val="Hyperlink"/>
            <w:noProof/>
            <w:lang w:val="en-US"/>
          </w:rPr>
          <w:t>psi_fix_fir_dec_ser_nch_chpar_conf</w:t>
        </w:r>
        <w:r>
          <w:rPr>
            <w:noProof/>
            <w:webHidden/>
          </w:rPr>
          <w:tab/>
        </w:r>
        <w:r>
          <w:rPr>
            <w:noProof/>
            <w:webHidden/>
          </w:rPr>
          <w:fldChar w:fldCharType="begin"/>
        </w:r>
        <w:r>
          <w:rPr>
            <w:noProof/>
            <w:webHidden/>
          </w:rPr>
          <w:instrText xml:space="preserve"> PAGEREF _Toc515269529 \h </w:instrText>
        </w:r>
        <w:r>
          <w:rPr>
            <w:noProof/>
            <w:webHidden/>
          </w:rPr>
        </w:r>
        <w:r>
          <w:rPr>
            <w:noProof/>
            <w:webHidden/>
          </w:rPr>
          <w:fldChar w:fldCharType="separate"/>
        </w:r>
        <w:r>
          <w:rPr>
            <w:noProof/>
            <w:webHidden/>
          </w:rPr>
          <w:t>16</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0" w:history="1">
        <w:r w:rsidRPr="009E60B8">
          <w:rPr>
            <w:rStyle w:val="Hyperlink"/>
            <w:noProof/>
            <w:lang w:val="en-US"/>
          </w:rPr>
          <w:t>3.6</w:t>
        </w:r>
        <w:r>
          <w:rPr>
            <w:rFonts w:asciiTheme="minorHAnsi" w:eastAsiaTheme="minorEastAsia" w:hAnsiTheme="minorHAnsi" w:cstheme="minorBidi"/>
            <w:noProof/>
            <w:sz w:val="22"/>
            <w:szCs w:val="22"/>
            <w:lang w:eastAsia="de-CH"/>
          </w:rPr>
          <w:tab/>
        </w:r>
        <w:r w:rsidRPr="009E60B8">
          <w:rPr>
            <w:rStyle w:val="Hyperlink"/>
            <w:noProof/>
            <w:lang w:val="en-US"/>
          </w:rPr>
          <w:t>psi_fix_fir_dec_ser_nch_chtdm_conf</w:t>
        </w:r>
        <w:r>
          <w:rPr>
            <w:noProof/>
            <w:webHidden/>
          </w:rPr>
          <w:tab/>
        </w:r>
        <w:r>
          <w:rPr>
            <w:noProof/>
            <w:webHidden/>
          </w:rPr>
          <w:fldChar w:fldCharType="begin"/>
        </w:r>
        <w:r>
          <w:rPr>
            <w:noProof/>
            <w:webHidden/>
          </w:rPr>
          <w:instrText xml:space="preserve"> PAGEREF _Toc515269530 \h </w:instrText>
        </w:r>
        <w:r>
          <w:rPr>
            <w:noProof/>
            <w:webHidden/>
          </w:rPr>
        </w:r>
        <w:r>
          <w:rPr>
            <w:noProof/>
            <w:webHidden/>
          </w:rPr>
          <w:fldChar w:fldCharType="separate"/>
        </w:r>
        <w:r>
          <w:rPr>
            <w:noProof/>
            <w:webHidden/>
          </w:rPr>
          <w:t>19</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1" w:history="1">
        <w:r w:rsidRPr="009E60B8">
          <w:rPr>
            <w:rStyle w:val="Hyperlink"/>
            <w:noProof/>
            <w:lang w:val="en-US"/>
          </w:rPr>
          <w:t>3.7</w:t>
        </w:r>
        <w:r>
          <w:rPr>
            <w:rFonts w:asciiTheme="minorHAnsi" w:eastAsiaTheme="minorEastAsia" w:hAnsiTheme="minorHAnsi" w:cstheme="minorBidi"/>
            <w:noProof/>
            <w:sz w:val="22"/>
            <w:szCs w:val="22"/>
            <w:lang w:eastAsia="de-CH"/>
          </w:rPr>
          <w:tab/>
        </w:r>
        <w:r w:rsidRPr="009E60B8">
          <w:rPr>
            <w:rStyle w:val="Hyperlink"/>
            <w:noProof/>
            <w:lang w:val="en-US"/>
          </w:rPr>
          <w:t>psi_fix_lin_approx_&lt;function&gt;</w:t>
        </w:r>
        <w:r>
          <w:rPr>
            <w:noProof/>
            <w:webHidden/>
          </w:rPr>
          <w:tab/>
        </w:r>
        <w:r>
          <w:rPr>
            <w:noProof/>
            <w:webHidden/>
          </w:rPr>
          <w:fldChar w:fldCharType="begin"/>
        </w:r>
        <w:r>
          <w:rPr>
            <w:noProof/>
            <w:webHidden/>
          </w:rPr>
          <w:instrText xml:space="preserve"> PAGEREF _Toc515269531 \h </w:instrText>
        </w:r>
        <w:r>
          <w:rPr>
            <w:noProof/>
            <w:webHidden/>
          </w:rPr>
        </w:r>
        <w:r>
          <w:rPr>
            <w:noProof/>
            <w:webHidden/>
          </w:rPr>
          <w:fldChar w:fldCharType="separate"/>
        </w:r>
        <w:r>
          <w:rPr>
            <w:noProof/>
            <w:webHidden/>
          </w:rPr>
          <w:t>22</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2" w:history="1">
        <w:r w:rsidRPr="009E60B8">
          <w:rPr>
            <w:rStyle w:val="Hyperlink"/>
            <w:noProof/>
            <w:lang w:val="en-US"/>
          </w:rPr>
          <w:t>3.8</w:t>
        </w:r>
        <w:r>
          <w:rPr>
            <w:rFonts w:asciiTheme="minorHAnsi" w:eastAsiaTheme="minorEastAsia" w:hAnsiTheme="minorHAnsi" w:cstheme="minorBidi"/>
            <w:noProof/>
            <w:sz w:val="22"/>
            <w:szCs w:val="22"/>
            <w:lang w:eastAsia="de-CH"/>
          </w:rPr>
          <w:tab/>
        </w:r>
        <w:r w:rsidRPr="009E60B8">
          <w:rPr>
            <w:rStyle w:val="Hyperlink"/>
            <w:noProof/>
            <w:lang w:val="en-US"/>
          </w:rPr>
          <w:t>psi_fix_dds_18b</w:t>
        </w:r>
        <w:r>
          <w:rPr>
            <w:noProof/>
            <w:webHidden/>
          </w:rPr>
          <w:tab/>
        </w:r>
        <w:r>
          <w:rPr>
            <w:noProof/>
            <w:webHidden/>
          </w:rPr>
          <w:fldChar w:fldCharType="begin"/>
        </w:r>
        <w:r>
          <w:rPr>
            <w:noProof/>
            <w:webHidden/>
          </w:rPr>
          <w:instrText xml:space="preserve"> PAGEREF _Toc515269532 \h </w:instrText>
        </w:r>
        <w:r>
          <w:rPr>
            <w:noProof/>
            <w:webHidden/>
          </w:rPr>
        </w:r>
        <w:r>
          <w:rPr>
            <w:noProof/>
            <w:webHidden/>
          </w:rPr>
          <w:fldChar w:fldCharType="separate"/>
        </w:r>
        <w:r>
          <w:rPr>
            <w:noProof/>
            <w:webHidden/>
          </w:rPr>
          <w:t>24</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3" w:history="1">
        <w:r w:rsidRPr="009E60B8">
          <w:rPr>
            <w:rStyle w:val="Hyperlink"/>
            <w:noProof/>
            <w:lang w:val="en-US"/>
          </w:rPr>
          <w:t>3.9</w:t>
        </w:r>
        <w:r>
          <w:rPr>
            <w:rFonts w:asciiTheme="minorHAnsi" w:eastAsiaTheme="minorEastAsia" w:hAnsiTheme="minorHAnsi" w:cstheme="minorBidi"/>
            <w:noProof/>
            <w:sz w:val="22"/>
            <w:szCs w:val="22"/>
            <w:lang w:eastAsia="de-CH"/>
          </w:rPr>
          <w:tab/>
        </w:r>
        <w:r w:rsidRPr="009E60B8">
          <w:rPr>
            <w:rStyle w:val="Hyperlink"/>
            <w:noProof/>
            <w:lang w:val="en-US"/>
          </w:rPr>
          <w:t>psi_fix_lowpass_iir_order1</w:t>
        </w:r>
        <w:r>
          <w:rPr>
            <w:noProof/>
            <w:webHidden/>
          </w:rPr>
          <w:tab/>
        </w:r>
        <w:r>
          <w:rPr>
            <w:noProof/>
            <w:webHidden/>
          </w:rPr>
          <w:fldChar w:fldCharType="begin"/>
        </w:r>
        <w:r>
          <w:rPr>
            <w:noProof/>
            <w:webHidden/>
          </w:rPr>
          <w:instrText xml:space="preserve"> PAGEREF _Toc515269533 \h </w:instrText>
        </w:r>
        <w:r>
          <w:rPr>
            <w:noProof/>
            <w:webHidden/>
          </w:rPr>
        </w:r>
        <w:r>
          <w:rPr>
            <w:noProof/>
            <w:webHidden/>
          </w:rPr>
          <w:fldChar w:fldCharType="separate"/>
        </w:r>
        <w:r>
          <w:rPr>
            <w:noProof/>
            <w:webHidden/>
          </w:rPr>
          <w:t>26</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4" w:history="1">
        <w:r w:rsidRPr="009E60B8">
          <w:rPr>
            <w:rStyle w:val="Hyperlink"/>
            <w:noProof/>
            <w:lang w:val="en-US"/>
          </w:rPr>
          <w:t>3.10</w:t>
        </w:r>
        <w:r>
          <w:rPr>
            <w:rFonts w:asciiTheme="minorHAnsi" w:eastAsiaTheme="minorEastAsia" w:hAnsiTheme="minorHAnsi" w:cstheme="minorBidi"/>
            <w:noProof/>
            <w:sz w:val="22"/>
            <w:szCs w:val="22"/>
            <w:lang w:eastAsia="de-CH"/>
          </w:rPr>
          <w:tab/>
        </w:r>
        <w:r w:rsidRPr="009E60B8">
          <w:rPr>
            <w:rStyle w:val="Hyperlink"/>
            <w:noProof/>
            <w:lang w:val="en-US"/>
          </w:rPr>
          <w:t>psi_fix_complex_mult</w:t>
        </w:r>
        <w:r>
          <w:rPr>
            <w:noProof/>
            <w:webHidden/>
          </w:rPr>
          <w:tab/>
        </w:r>
        <w:r>
          <w:rPr>
            <w:noProof/>
            <w:webHidden/>
          </w:rPr>
          <w:fldChar w:fldCharType="begin"/>
        </w:r>
        <w:r>
          <w:rPr>
            <w:noProof/>
            <w:webHidden/>
          </w:rPr>
          <w:instrText xml:space="preserve"> PAGEREF _Toc515269534 \h </w:instrText>
        </w:r>
        <w:r>
          <w:rPr>
            <w:noProof/>
            <w:webHidden/>
          </w:rPr>
        </w:r>
        <w:r>
          <w:rPr>
            <w:noProof/>
            <w:webHidden/>
          </w:rPr>
          <w:fldChar w:fldCharType="separate"/>
        </w:r>
        <w:r>
          <w:rPr>
            <w:noProof/>
            <w:webHidden/>
          </w:rPr>
          <w:t>28</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5" w:history="1">
        <w:r w:rsidRPr="009E60B8">
          <w:rPr>
            <w:rStyle w:val="Hyperlink"/>
            <w:noProof/>
            <w:lang w:val="en-US"/>
          </w:rPr>
          <w:t>3.11</w:t>
        </w:r>
        <w:r>
          <w:rPr>
            <w:rFonts w:asciiTheme="minorHAnsi" w:eastAsiaTheme="minorEastAsia" w:hAnsiTheme="minorHAnsi" w:cstheme="minorBidi"/>
            <w:noProof/>
            <w:sz w:val="22"/>
            <w:szCs w:val="22"/>
            <w:lang w:eastAsia="de-CH"/>
          </w:rPr>
          <w:tab/>
        </w:r>
        <w:r w:rsidRPr="009E60B8">
          <w:rPr>
            <w:rStyle w:val="Hyperlink"/>
            <w:noProof/>
            <w:lang w:val="en-US"/>
          </w:rPr>
          <w:t>psi_fix_mov_avg</w:t>
        </w:r>
        <w:r>
          <w:rPr>
            <w:noProof/>
            <w:webHidden/>
          </w:rPr>
          <w:tab/>
        </w:r>
        <w:r>
          <w:rPr>
            <w:noProof/>
            <w:webHidden/>
          </w:rPr>
          <w:fldChar w:fldCharType="begin"/>
        </w:r>
        <w:r>
          <w:rPr>
            <w:noProof/>
            <w:webHidden/>
          </w:rPr>
          <w:instrText xml:space="preserve"> PAGEREF _Toc515269535 \h </w:instrText>
        </w:r>
        <w:r>
          <w:rPr>
            <w:noProof/>
            <w:webHidden/>
          </w:rPr>
        </w:r>
        <w:r>
          <w:rPr>
            <w:noProof/>
            <w:webHidden/>
          </w:rPr>
          <w:fldChar w:fldCharType="separate"/>
        </w:r>
        <w:r>
          <w:rPr>
            <w:noProof/>
            <w:webHidden/>
          </w:rPr>
          <w:t>30</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6" w:history="1">
        <w:r w:rsidRPr="009E60B8">
          <w:rPr>
            <w:rStyle w:val="Hyperlink"/>
            <w:noProof/>
            <w:lang w:val="en-US"/>
          </w:rPr>
          <w:t>3.12</w:t>
        </w:r>
        <w:r>
          <w:rPr>
            <w:rFonts w:asciiTheme="minorHAnsi" w:eastAsiaTheme="minorEastAsia" w:hAnsiTheme="minorHAnsi" w:cstheme="minorBidi"/>
            <w:noProof/>
            <w:sz w:val="22"/>
            <w:szCs w:val="22"/>
            <w:lang w:eastAsia="de-CH"/>
          </w:rPr>
          <w:tab/>
        </w:r>
        <w:r w:rsidRPr="009E60B8">
          <w:rPr>
            <w:rStyle w:val="Hyperlink"/>
            <w:noProof/>
            <w:lang w:val="en-US"/>
          </w:rPr>
          <w:t>psi_fix_demod_real2cplx</w:t>
        </w:r>
        <w:r>
          <w:rPr>
            <w:noProof/>
            <w:webHidden/>
          </w:rPr>
          <w:tab/>
        </w:r>
        <w:r>
          <w:rPr>
            <w:noProof/>
            <w:webHidden/>
          </w:rPr>
          <w:fldChar w:fldCharType="begin"/>
        </w:r>
        <w:r>
          <w:rPr>
            <w:noProof/>
            <w:webHidden/>
          </w:rPr>
          <w:instrText xml:space="preserve"> PAGEREF _Toc515269536 \h </w:instrText>
        </w:r>
        <w:r>
          <w:rPr>
            <w:noProof/>
            <w:webHidden/>
          </w:rPr>
        </w:r>
        <w:r>
          <w:rPr>
            <w:noProof/>
            <w:webHidden/>
          </w:rPr>
          <w:fldChar w:fldCharType="separate"/>
        </w:r>
        <w:r>
          <w:rPr>
            <w:noProof/>
            <w:webHidden/>
          </w:rPr>
          <w:t>32</w:t>
        </w:r>
        <w:r>
          <w:rPr>
            <w:noProof/>
            <w:webHidden/>
          </w:rPr>
          <w:fldChar w:fldCharType="end"/>
        </w:r>
      </w:hyperlink>
    </w:p>
    <w:p w:rsidR="007E23C5" w:rsidRDefault="007E23C5">
      <w:pPr>
        <w:pStyle w:val="TOC2"/>
        <w:rPr>
          <w:rFonts w:asciiTheme="minorHAnsi" w:eastAsiaTheme="minorEastAsia" w:hAnsiTheme="minorHAnsi" w:cstheme="minorBidi"/>
          <w:noProof/>
          <w:sz w:val="22"/>
          <w:szCs w:val="22"/>
          <w:lang w:eastAsia="de-CH"/>
        </w:rPr>
      </w:pPr>
      <w:hyperlink w:anchor="_Toc515269537" w:history="1">
        <w:r w:rsidRPr="009E60B8">
          <w:rPr>
            <w:rStyle w:val="Hyperlink"/>
            <w:noProof/>
            <w:lang w:val="en-US"/>
          </w:rPr>
          <w:t>3.13</w:t>
        </w:r>
        <w:r>
          <w:rPr>
            <w:rFonts w:asciiTheme="minorHAnsi" w:eastAsiaTheme="minorEastAsia" w:hAnsiTheme="minorHAnsi" w:cstheme="minorBidi"/>
            <w:noProof/>
            <w:sz w:val="22"/>
            <w:szCs w:val="22"/>
            <w:lang w:eastAsia="de-CH"/>
          </w:rPr>
          <w:tab/>
        </w:r>
        <w:r w:rsidRPr="009E60B8">
          <w:rPr>
            <w:rStyle w:val="Hyperlink"/>
            <w:noProof/>
            <w:lang w:val="en-US"/>
          </w:rPr>
          <w:t>psi_fix_cordic_vect</w:t>
        </w:r>
        <w:r>
          <w:rPr>
            <w:noProof/>
            <w:webHidden/>
          </w:rPr>
          <w:tab/>
        </w:r>
        <w:r>
          <w:rPr>
            <w:noProof/>
            <w:webHidden/>
          </w:rPr>
          <w:fldChar w:fldCharType="begin"/>
        </w:r>
        <w:r>
          <w:rPr>
            <w:noProof/>
            <w:webHidden/>
          </w:rPr>
          <w:instrText xml:space="preserve"> PAGEREF _Toc515269537 \h </w:instrText>
        </w:r>
        <w:r>
          <w:rPr>
            <w:noProof/>
            <w:webHidden/>
          </w:rPr>
        </w:r>
        <w:r>
          <w:rPr>
            <w:noProof/>
            <w:webHidden/>
          </w:rPr>
          <w:fldChar w:fldCharType="separate"/>
        </w:r>
        <w:r>
          <w:rPr>
            <w:noProof/>
            <w:webHidden/>
          </w:rPr>
          <w:t>35</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7E23C5"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5269538" w:history="1">
        <w:r w:rsidR="007E23C5" w:rsidRPr="00274613">
          <w:rPr>
            <w:rStyle w:val="Hyperlink"/>
            <w:noProof/>
            <w:lang w:val="en-US"/>
          </w:rPr>
          <w:t>Figure 1: Heavy Pipelining, Problem Description</w:t>
        </w:r>
        <w:r w:rsidR="007E23C5">
          <w:rPr>
            <w:noProof/>
            <w:webHidden/>
          </w:rPr>
          <w:tab/>
        </w:r>
        <w:r w:rsidR="007E23C5">
          <w:rPr>
            <w:noProof/>
            <w:webHidden/>
          </w:rPr>
          <w:fldChar w:fldCharType="begin"/>
        </w:r>
        <w:r w:rsidR="007E23C5">
          <w:rPr>
            <w:noProof/>
            <w:webHidden/>
          </w:rPr>
          <w:instrText xml:space="preserve"> PAGEREF _Toc515269538 \h </w:instrText>
        </w:r>
        <w:r w:rsidR="007E23C5">
          <w:rPr>
            <w:noProof/>
            <w:webHidden/>
          </w:rPr>
        </w:r>
        <w:r w:rsidR="007E23C5">
          <w:rPr>
            <w:noProof/>
            <w:webHidden/>
          </w:rPr>
          <w:fldChar w:fldCharType="separate"/>
        </w:r>
        <w:r w:rsidR="007E23C5">
          <w:rPr>
            <w:noProof/>
            <w:webHidden/>
          </w:rPr>
          <w:t>5</w:t>
        </w:r>
        <w:r w:rsidR="007E23C5">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39" w:history="1">
        <w:r w:rsidRPr="00274613">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_Toc515269539 \h </w:instrText>
        </w:r>
        <w:r>
          <w:rPr>
            <w:noProof/>
            <w:webHidden/>
          </w:rPr>
        </w:r>
        <w:r>
          <w:rPr>
            <w:noProof/>
            <w:webHidden/>
          </w:rPr>
          <w:fldChar w:fldCharType="separate"/>
        </w:r>
        <w:r>
          <w:rPr>
            <w:noProof/>
            <w:webHidden/>
          </w:rPr>
          <w:t>5</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0" w:history="1">
        <w:r w:rsidRPr="00274613">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_Toc515269540 \h </w:instrText>
        </w:r>
        <w:r>
          <w:rPr>
            <w:noProof/>
            <w:webHidden/>
          </w:rPr>
        </w:r>
        <w:r>
          <w:rPr>
            <w:noProof/>
            <w:webHidden/>
          </w:rPr>
          <w:fldChar w:fldCharType="separate"/>
        </w:r>
        <w:r>
          <w:rPr>
            <w:noProof/>
            <w:webHidden/>
          </w:rPr>
          <w:t>6</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1" w:history="1">
        <w:r w:rsidRPr="00274613">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_Toc515269541 \h </w:instrText>
        </w:r>
        <w:r>
          <w:rPr>
            <w:noProof/>
            <w:webHidden/>
          </w:rPr>
        </w:r>
        <w:r>
          <w:rPr>
            <w:noProof/>
            <w:webHidden/>
          </w:rPr>
          <w:fldChar w:fldCharType="separate"/>
        </w:r>
        <w:r>
          <w:rPr>
            <w:noProof/>
            <w:webHidden/>
          </w:rPr>
          <w:t>7</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2" w:history="1">
        <w:r w:rsidRPr="00274613">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_Toc515269542 \h </w:instrText>
        </w:r>
        <w:r>
          <w:rPr>
            <w:noProof/>
            <w:webHidden/>
          </w:rPr>
        </w:r>
        <w:r>
          <w:rPr>
            <w:noProof/>
            <w:webHidden/>
          </w:rPr>
          <w:fldChar w:fldCharType="separate"/>
        </w:r>
        <w:r>
          <w:rPr>
            <w:noProof/>
            <w:webHidden/>
          </w:rPr>
          <w:t>9</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3" w:history="1">
        <w:r w:rsidRPr="00274613">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_Toc515269543 \h </w:instrText>
        </w:r>
        <w:r>
          <w:rPr>
            <w:noProof/>
            <w:webHidden/>
          </w:rPr>
        </w:r>
        <w:r>
          <w:rPr>
            <w:noProof/>
            <w:webHidden/>
          </w:rPr>
          <w:fldChar w:fldCharType="separate"/>
        </w:r>
        <w:r>
          <w:rPr>
            <w:noProof/>
            <w:webHidden/>
          </w:rPr>
          <w:t>11</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4" w:history="1">
        <w:r w:rsidRPr="00274613">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_Toc515269544 \h </w:instrText>
        </w:r>
        <w:r>
          <w:rPr>
            <w:noProof/>
            <w:webHidden/>
          </w:rPr>
        </w:r>
        <w:r>
          <w:rPr>
            <w:noProof/>
            <w:webHidden/>
          </w:rPr>
          <w:fldChar w:fldCharType="separate"/>
        </w:r>
        <w:r>
          <w:rPr>
            <w:noProof/>
            <w:webHidden/>
          </w:rPr>
          <w:t>13</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5" w:history="1">
        <w:r w:rsidRPr="00274613">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_Toc515269545 \h </w:instrText>
        </w:r>
        <w:r>
          <w:rPr>
            <w:noProof/>
            <w:webHidden/>
          </w:rPr>
        </w:r>
        <w:r>
          <w:rPr>
            <w:noProof/>
            <w:webHidden/>
          </w:rPr>
          <w:fldChar w:fldCharType="separate"/>
        </w:r>
        <w:r>
          <w:rPr>
            <w:noProof/>
            <w:webHidden/>
          </w:rPr>
          <w:t>18</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6" w:history="1">
        <w:r w:rsidRPr="00274613">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_Toc515269546 \h </w:instrText>
        </w:r>
        <w:r>
          <w:rPr>
            <w:noProof/>
            <w:webHidden/>
          </w:rPr>
        </w:r>
        <w:r>
          <w:rPr>
            <w:noProof/>
            <w:webHidden/>
          </w:rPr>
          <w:fldChar w:fldCharType="separate"/>
        </w:r>
        <w:r>
          <w:rPr>
            <w:noProof/>
            <w:webHidden/>
          </w:rPr>
          <w:t>21</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7" w:history="1">
        <w:r w:rsidRPr="00274613">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_Toc515269547 \h </w:instrText>
        </w:r>
        <w:r>
          <w:rPr>
            <w:noProof/>
            <w:webHidden/>
          </w:rPr>
        </w:r>
        <w:r>
          <w:rPr>
            <w:noProof/>
            <w:webHidden/>
          </w:rPr>
          <w:fldChar w:fldCharType="separate"/>
        </w:r>
        <w:r>
          <w:rPr>
            <w:noProof/>
            <w:webHidden/>
          </w:rPr>
          <w:t>23</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8" w:history="1">
        <w:r w:rsidRPr="00274613">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_Toc515269548 \h </w:instrText>
        </w:r>
        <w:r>
          <w:rPr>
            <w:noProof/>
            <w:webHidden/>
          </w:rPr>
        </w:r>
        <w:r>
          <w:rPr>
            <w:noProof/>
            <w:webHidden/>
          </w:rPr>
          <w:fldChar w:fldCharType="separate"/>
        </w:r>
        <w:r>
          <w:rPr>
            <w:noProof/>
            <w:webHidden/>
          </w:rPr>
          <w:t>23</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49" w:history="1">
        <w:r w:rsidRPr="00274613">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_Toc515269549 \h </w:instrText>
        </w:r>
        <w:r>
          <w:rPr>
            <w:noProof/>
            <w:webHidden/>
          </w:rPr>
        </w:r>
        <w:r>
          <w:rPr>
            <w:noProof/>
            <w:webHidden/>
          </w:rPr>
          <w:fldChar w:fldCharType="separate"/>
        </w:r>
        <w:r>
          <w:rPr>
            <w:noProof/>
            <w:webHidden/>
          </w:rPr>
          <w:t>24</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0" w:history="1">
        <w:r w:rsidRPr="00274613">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_Toc515269550 \h </w:instrText>
        </w:r>
        <w:r>
          <w:rPr>
            <w:noProof/>
            <w:webHidden/>
          </w:rPr>
        </w:r>
        <w:r>
          <w:rPr>
            <w:noProof/>
            <w:webHidden/>
          </w:rPr>
          <w:fldChar w:fldCharType="separate"/>
        </w:r>
        <w:r>
          <w:rPr>
            <w:noProof/>
            <w:webHidden/>
          </w:rPr>
          <w:t>25</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1" w:history="1">
        <w:r w:rsidRPr="00274613">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_Toc515269551 \h </w:instrText>
        </w:r>
        <w:r>
          <w:rPr>
            <w:noProof/>
            <w:webHidden/>
          </w:rPr>
        </w:r>
        <w:r>
          <w:rPr>
            <w:noProof/>
            <w:webHidden/>
          </w:rPr>
          <w:fldChar w:fldCharType="separate"/>
        </w:r>
        <w:r>
          <w:rPr>
            <w:noProof/>
            <w:webHidden/>
          </w:rPr>
          <w:t>27</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2" w:history="1">
        <w:r w:rsidRPr="00274613">
          <w:rPr>
            <w:rStyle w:val="Hyperlink"/>
            <w:noProof/>
            <w:lang w:val="en-US"/>
          </w:rPr>
          <w:t>Figure 15: psi_fix_complex_mult Architecture – Pipeline_g = 0 (left) Pipeline_g = 1</w:t>
        </w:r>
        <w:r>
          <w:rPr>
            <w:noProof/>
            <w:webHidden/>
          </w:rPr>
          <w:tab/>
        </w:r>
        <w:r>
          <w:rPr>
            <w:noProof/>
            <w:webHidden/>
          </w:rPr>
          <w:fldChar w:fldCharType="begin"/>
        </w:r>
        <w:r>
          <w:rPr>
            <w:noProof/>
            <w:webHidden/>
          </w:rPr>
          <w:instrText xml:space="preserve"> PAGEREF _Toc515269552 \h </w:instrText>
        </w:r>
        <w:r>
          <w:rPr>
            <w:noProof/>
            <w:webHidden/>
          </w:rPr>
        </w:r>
        <w:r>
          <w:rPr>
            <w:noProof/>
            <w:webHidden/>
          </w:rPr>
          <w:fldChar w:fldCharType="separate"/>
        </w:r>
        <w:r>
          <w:rPr>
            <w:noProof/>
            <w:webHidden/>
          </w:rPr>
          <w:t>29</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3" w:history="1">
        <w:r w:rsidRPr="00274613">
          <w:rPr>
            <w:rStyle w:val="Hyperlink"/>
            <w:noProof/>
            <w:lang w:val="en-US"/>
          </w:rPr>
          <w:t>Figure 16: psi_fix_mov_avg Architecture</w:t>
        </w:r>
        <w:r>
          <w:rPr>
            <w:noProof/>
            <w:webHidden/>
          </w:rPr>
          <w:tab/>
        </w:r>
        <w:r>
          <w:rPr>
            <w:noProof/>
            <w:webHidden/>
          </w:rPr>
          <w:fldChar w:fldCharType="begin"/>
        </w:r>
        <w:r>
          <w:rPr>
            <w:noProof/>
            <w:webHidden/>
          </w:rPr>
          <w:instrText xml:space="preserve"> PAGEREF _Toc515269553 \h </w:instrText>
        </w:r>
        <w:r>
          <w:rPr>
            <w:noProof/>
            <w:webHidden/>
          </w:rPr>
        </w:r>
        <w:r>
          <w:rPr>
            <w:noProof/>
            <w:webHidden/>
          </w:rPr>
          <w:fldChar w:fldCharType="separate"/>
        </w:r>
        <w:r>
          <w:rPr>
            <w:noProof/>
            <w:webHidden/>
          </w:rPr>
          <w:t>31</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4" w:history="1">
        <w:r w:rsidRPr="00274613">
          <w:rPr>
            <w:rStyle w:val="Hyperlink"/>
            <w:noProof/>
            <w:lang w:val="en-US"/>
          </w:rPr>
          <w:t>Figure 17: psi_fix_demod_real2cplx Architecture</w:t>
        </w:r>
        <w:r>
          <w:rPr>
            <w:noProof/>
            <w:webHidden/>
          </w:rPr>
          <w:tab/>
        </w:r>
        <w:r>
          <w:rPr>
            <w:noProof/>
            <w:webHidden/>
          </w:rPr>
          <w:fldChar w:fldCharType="begin"/>
        </w:r>
        <w:r>
          <w:rPr>
            <w:noProof/>
            <w:webHidden/>
          </w:rPr>
          <w:instrText xml:space="preserve"> PAGEREF _Toc515269554 \h </w:instrText>
        </w:r>
        <w:r>
          <w:rPr>
            <w:noProof/>
            <w:webHidden/>
          </w:rPr>
        </w:r>
        <w:r>
          <w:rPr>
            <w:noProof/>
            <w:webHidden/>
          </w:rPr>
          <w:fldChar w:fldCharType="separate"/>
        </w:r>
        <w:r>
          <w:rPr>
            <w:noProof/>
            <w:webHidden/>
          </w:rPr>
          <w:t>34</w:t>
        </w:r>
        <w:r>
          <w:rPr>
            <w:noProof/>
            <w:webHidden/>
          </w:rPr>
          <w:fldChar w:fldCharType="end"/>
        </w:r>
      </w:hyperlink>
    </w:p>
    <w:p w:rsidR="007E23C5" w:rsidRDefault="007E23C5">
      <w:pPr>
        <w:pStyle w:val="TableofFigures"/>
        <w:tabs>
          <w:tab w:val="right" w:leader="dot" w:pos="10195"/>
        </w:tabs>
        <w:rPr>
          <w:rFonts w:asciiTheme="minorHAnsi" w:eastAsiaTheme="minorEastAsia" w:hAnsiTheme="minorHAnsi" w:cstheme="minorBidi"/>
          <w:noProof/>
          <w:sz w:val="22"/>
          <w:szCs w:val="22"/>
          <w:lang w:eastAsia="de-CH"/>
        </w:rPr>
      </w:pPr>
      <w:hyperlink w:anchor="_Toc515269555" w:history="1">
        <w:r w:rsidRPr="00274613">
          <w:rPr>
            <w:rStyle w:val="Hyperlink"/>
            <w:noProof/>
            <w:lang w:val="en-US"/>
          </w:rPr>
          <w:t>Figure 16: psi_fix_coric_vect Architecture</w:t>
        </w:r>
        <w:r>
          <w:rPr>
            <w:noProof/>
            <w:webHidden/>
          </w:rPr>
          <w:tab/>
        </w:r>
        <w:r>
          <w:rPr>
            <w:noProof/>
            <w:webHidden/>
          </w:rPr>
          <w:fldChar w:fldCharType="begin"/>
        </w:r>
        <w:r>
          <w:rPr>
            <w:noProof/>
            <w:webHidden/>
          </w:rPr>
          <w:instrText xml:space="preserve"> PAGEREF _Toc515269555 \h </w:instrText>
        </w:r>
        <w:r>
          <w:rPr>
            <w:noProof/>
            <w:webHidden/>
          </w:rPr>
        </w:r>
        <w:r>
          <w:rPr>
            <w:noProof/>
            <w:webHidden/>
          </w:rPr>
          <w:fldChar w:fldCharType="separate"/>
        </w:r>
        <w:r>
          <w:rPr>
            <w:noProof/>
            <w:webHidden/>
          </w:rPr>
          <w:t>36</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5269520"/>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5269521"/>
      <w:r>
        <w:rPr>
          <w:lang w:val="en-US"/>
        </w:rPr>
        <w:t>Tipps &amp; Tricks</w:t>
      </w:r>
      <w:bookmarkEnd w:id="2"/>
    </w:p>
    <w:p w:rsidR="00EC752F" w:rsidRDefault="00EC752F" w:rsidP="00EC752F">
      <w:pPr>
        <w:pStyle w:val="Heading2"/>
        <w:rPr>
          <w:lang w:val="en-US"/>
        </w:rPr>
      </w:pPr>
      <w:bookmarkStart w:id="3" w:name="_Toc515269522"/>
      <w:r>
        <w:rPr>
          <w:lang w:val="en-US"/>
        </w:rPr>
        <w:t>Library Setup</w:t>
      </w:r>
      <w:bookmarkEnd w:id="3"/>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4" w:name="_Toc515269523"/>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52695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52695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2</w:t>
      </w:r>
      <w:r w:rsidRPr="00B85EDE">
        <w:rPr>
          <w:lang w:val="en-US"/>
        </w:rPr>
        <w:fldChar w:fldCharType="end"/>
      </w:r>
      <w:r w:rsidRPr="00B85EDE">
        <w:rPr>
          <w:lang w:val="en-US"/>
        </w:rPr>
        <w:t xml:space="preserve">: </w:t>
      </w:r>
      <w:r>
        <w:rPr>
          <w:lang w:val="en-US"/>
        </w:rPr>
        <w:t>Heavy Pipelining, Retiming, Implementation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52695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3</w:t>
      </w:r>
      <w:r w:rsidRPr="00B85EDE">
        <w:rPr>
          <w:lang w:val="en-US"/>
        </w:rPr>
        <w:fldChar w:fldCharType="end"/>
      </w:r>
      <w:r w:rsidRPr="00B85EDE">
        <w:rPr>
          <w:lang w:val="en-US"/>
        </w:rPr>
        <w:t xml:space="preserve">: </w:t>
      </w:r>
      <w:r>
        <w:rPr>
          <w:lang w:val="en-US"/>
        </w:rPr>
        <w:t>Heavy Pipelining, Retiming, Implementation with retiming</w:t>
      </w:r>
      <w:bookmarkEnd w:id="7"/>
    </w:p>
    <w:p w:rsidR="00FB7BF6" w:rsidRDefault="00FB7BF6" w:rsidP="00FB7BF6">
      <w:pPr>
        <w:rPr>
          <w:lang w:val="en-US"/>
        </w:rPr>
      </w:pPr>
      <w:r>
        <w:rPr>
          <w:lang w:val="en-US"/>
        </w:rPr>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52695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5269524"/>
      <w:r>
        <w:rPr>
          <w:lang w:val="en-US"/>
        </w:rPr>
        <w:lastRenderedPageBreak/>
        <w:t>RTL Descriptions</w:t>
      </w:r>
      <w:bookmarkEnd w:id="9"/>
    </w:p>
    <w:p w:rsidR="00CA3637" w:rsidRDefault="00CA3637" w:rsidP="00CA3637">
      <w:pPr>
        <w:pStyle w:val="Heading2"/>
        <w:rPr>
          <w:lang w:val="en-US"/>
        </w:rPr>
      </w:pPr>
      <w:bookmarkStart w:id="10" w:name="_Toc515269525"/>
      <w:r>
        <w:rPr>
          <w:lang w:val="en-US"/>
        </w:rPr>
        <w:t>psi_fix_bin_div</w:t>
      </w:r>
      <w:bookmarkEnd w:id="10"/>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52695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5</w:t>
      </w:r>
      <w:r w:rsidRPr="00B85EDE">
        <w:rPr>
          <w:lang w:val="en-US"/>
        </w:rPr>
        <w:fldChar w:fldCharType="end"/>
      </w:r>
      <w:r w:rsidRPr="00B85EDE">
        <w:rPr>
          <w:lang w:val="en-US"/>
        </w:rPr>
        <w:t xml:space="preserve">: </w:t>
      </w:r>
      <w:r>
        <w:rPr>
          <w:lang w:val="en-US"/>
        </w:rPr>
        <w:t>psi_fix_bin_div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5269526"/>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52695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5269527"/>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52695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5269528"/>
      <w:r>
        <w:rPr>
          <w:lang w:val="en-US"/>
        </w:rPr>
        <w:lastRenderedPageBreak/>
        <w:t>psi_fix_cordic_abs_pl</w:t>
      </w:r>
      <w:bookmarkEnd w:id="16"/>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675297"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75297"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675297"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675297"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5269529"/>
      <w:r w:rsidRPr="001A346F">
        <w:rPr>
          <w:lang w:val="en-US"/>
        </w:rPr>
        <w:lastRenderedPageBreak/>
        <w:t>psi_fix_fir_dec_ser_nch_chpar_conf</w:t>
      </w:r>
      <w:bookmarkEnd w:id="17"/>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59393B"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59393B"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59393B"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59393B"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9393B"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59393B"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59393B"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59393B"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59393B"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52695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8</w:t>
      </w:r>
      <w:r w:rsidRPr="00B85EDE">
        <w:rPr>
          <w:lang w:val="en-US"/>
        </w:rPr>
        <w:fldChar w:fldCharType="end"/>
      </w:r>
      <w:r w:rsidRPr="00B85EDE">
        <w:rPr>
          <w:lang w:val="en-US"/>
        </w:rPr>
        <w:t xml:space="preserve">: </w:t>
      </w:r>
      <w:r>
        <w:rPr>
          <w:lang w:val="en-US"/>
        </w:rPr>
        <w:t>psi_fix_fix_dec_ser_nch_chpar_conf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5269530"/>
      <w:r>
        <w:rPr>
          <w:lang w:val="en-US"/>
        </w:rPr>
        <w:lastRenderedPageBreak/>
        <w:t>psi_fix_fir_dec_ser_nch_chtdm</w:t>
      </w:r>
      <w:r w:rsidR="00C658FA" w:rsidRPr="001A346F">
        <w:rPr>
          <w:lang w:val="en-US"/>
        </w:rPr>
        <w:t>_conf</w:t>
      </w:r>
      <w:bookmarkEnd w:id="19"/>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59393B"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52695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9</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5269531"/>
      <w:r>
        <w:rPr>
          <w:lang w:val="en-US"/>
        </w:rPr>
        <w:lastRenderedPageBreak/>
        <w:t>psi_fix</w:t>
      </w:r>
      <w:r w:rsidR="009263F8">
        <w:rPr>
          <w:lang w:val="en-US"/>
        </w:rPr>
        <w:t>_lin_approx_&lt;function&gt;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r>
        <w:rPr>
          <w:lang w:val="en-US"/>
        </w:rPr>
        <w:t>Sinde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52695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10</w:t>
      </w:r>
      <w:r w:rsidRPr="00B85EDE">
        <w:rPr>
          <w:lang w:val="en-US"/>
        </w:rPr>
        <w:fldChar w:fldCharType="end"/>
      </w:r>
      <w:r w:rsidRPr="00B85EDE">
        <w:rPr>
          <w:lang w:val="en-US"/>
        </w:rPr>
        <w:t xml:space="preserve">: </w:t>
      </w:r>
      <w:r>
        <w:rPr>
          <w:lang w:val="en-US"/>
        </w:rPr>
        <w:t>psi_fix_lin_approx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52695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11</w:t>
      </w:r>
      <w:r w:rsidRPr="00B85EDE">
        <w:rPr>
          <w:lang w:val="en-US"/>
        </w:rPr>
        <w:fldChar w:fldCharType="end"/>
      </w:r>
      <w:r w:rsidRPr="00B85EDE">
        <w:rPr>
          <w:lang w:val="en-US"/>
        </w:rPr>
        <w:t xml:space="preserve">: </w:t>
      </w:r>
      <w:r>
        <w:rPr>
          <w:lang w:val="en-US"/>
        </w:rPr>
        <w:t>psi_fix_lin_approx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5269532"/>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52695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12</w:t>
      </w:r>
      <w:r w:rsidRPr="00B85EDE">
        <w:rPr>
          <w:lang w:val="en-US"/>
        </w:rPr>
        <w:fldChar w:fldCharType="end"/>
      </w:r>
      <w:r w:rsidRPr="00B85EDE">
        <w:rPr>
          <w:lang w:val="en-US"/>
        </w:rPr>
        <w:t xml:space="preserve">: </w:t>
      </w:r>
      <w:r>
        <w:rPr>
          <w:lang w:val="en-US"/>
        </w:rPr>
        <w:t>psi_fix_dds_18b Spectrum for PhaseStep=0.12345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59393B"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59393B"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59393B"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59393B"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52695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5269533"/>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59393B"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59393B"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52695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5269534"/>
      <w:r>
        <w:rPr>
          <w:lang w:val="en-US"/>
        </w:rPr>
        <w:lastRenderedPageBreak/>
        <w:t>psi_fix_complex_mult</w:t>
      </w:r>
      <w:bookmarkEnd w:id="29"/>
      <w:bookmarkEnd w:id="30"/>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675297"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9393B"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59393B"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2" o:title=""/>
          </v:shape>
          <o:OLEObject Type="Embed" ProgID="Visio.Drawing.11" ShapeID="_x0000_i1025" DrawAspect="Content" ObjectID="_1589011351" r:id="rId23"/>
        </w:object>
      </w:r>
    </w:p>
    <w:p w:rsidR="00860A43" w:rsidRDefault="00860A43" w:rsidP="00860A43">
      <w:pPr>
        <w:pStyle w:val="Caption"/>
        <w:jc w:val="center"/>
        <w:rPr>
          <w:lang w:val="en-US"/>
        </w:rPr>
      </w:pPr>
      <w:bookmarkStart w:id="32" w:name="_Toc514162298"/>
      <w:bookmarkStart w:id="33" w:name="_Toc515269552"/>
      <w:r w:rsidRPr="00B40844">
        <w:rPr>
          <w:lang w:val="en-US"/>
        </w:rPr>
        <w:t xml:space="preserve">Figure </w:t>
      </w:r>
      <w:r>
        <w:fldChar w:fldCharType="begin"/>
      </w:r>
      <w:r w:rsidRPr="00B40844">
        <w:rPr>
          <w:lang w:val="en-US"/>
        </w:rPr>
        <w:instrText xml:space="preserve"> SEQ Figure \* ARABIC </w:instrText>
      </w:r>
      <w:r>
        <w:fldChar w:fldCharType="separate"/>
      </w:r>
      <w:r w:rsidR="007E23C5">
        <w:rPr>
          <w:noProof/>
          <w:lang w:val="en-US"/>
        </w:rPr>
        <w:t>15</w:t>
      </w:r>
      <w:r>
        <w:fldChar w:fldCharType="end"/>
      </w:r>
      <w:r w:rsidRPr="00B40844">
        <w:rPr>
          <w:lang w:val="en-US"/>
        </w:rPr>
        <w:t xml:space="preserve">: </w:t>
      </w:r>
      <w:r>
        <w:rPr>
          <w:lang w:val="en-US"/>
        </w:rPr>
        <w:t>psi_fix_complex_mult Architecture</w:t>
      </w:r>
      <w:bookmarkEnd w:id="32"/>
      <w:r>
        <w:rPr>
          <w:lang w:val="en-US"/>
        </w:rPr>
        <w:t xml:space="preserve"> – Pipeline_g = 0 (left) Pipeline_g = 1</w:t>
      </w:r>
      <w:bookmarkEnd w:id="33"/>
    </w:p>
    <w:p w:rsidR="0003008E" w:rsidRDefault="0003008E" w:rsidP="0003008E">
      <w:pPr>
        <w:pStyle w:val="Heading2"/>
        <w:pageBreakBefore/>
        <w:ind w:left="578" w:hanging="578"/>
        <w:rPr>
          <w:lang w:val="en-US"/>
        </w:rPr>
      </w:pPr>
      <w:bookmarkStart w:id="34" w:name="_Toc515269535"/>
      <w:r>
        <w:rPr>
          <w:lang w:val="en-US"/>
        </w:rPr>
        <w:lastRenderedPageBreak/>
        <w:t>psi_fix_mov_avg</w:t>
      </w:r>
      <w:bookmarkEnd w:id="34"/>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6752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6752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67529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5" w:name="_Toc5152695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16</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3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6" w:name="_Toc515269536"/>
      <w:r>
        <w:rPr>
          <w:lang w:val="en-US"/>
        </w:rPr>
        <w:lastRenderedPageBreak/>
        <w:t>psi_fix_demod_real2cplx</w:t>
      </w:r>
      <w:bookmarkEnd w:id="3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59393B"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59393B"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59393B"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59393B"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59393B"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7" w:name="_Toc5152695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7"/>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38" w:name="_Toc515269537"/>
      <w:r>
        <w:rPr>
          <w:lang w:val="en-US"/>
        </w:rPr>
        <w:lastRenderedPageBreak/>
        <w:t>psi_fix_cordic_vect</w:t>
      </w:r>
      <w:bookmarkEnd w:id="38"/>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675297"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FF utilitzation</w:t>
      </w:r>
    </w:p>
    <w:p w:rsidR="0059393B" w:rsidRDefault="0059393B" w:rsidP="0059393B">
      <w:pPr>
        <w:jc w:val="left"/>
        <w:rPr>
          <w:lang w:val="en-US"/>
        </w:rPr>
      </w:pPr>
    </w:p>
    <w:p w:rsidR="0059393B" w:rsidRPr="00660D1C" w:rsidRDefault="0059393B" w:rsidP="0059393B">
      <w:pPr>
        <w:jc w:val="left"/>
        <w:rPr>
          <w:lang w:val="en-US"/>
        </w:rPr>
      </w:pPr>
      <w:r>
        <w:rPr>
          <w:lang w:val="en-US"/>
        </w:rPr>
        <w:t>Note that in many cases the “SERIAL” implementation is not smaller than the “PIPELINED” implementation because of the large barrel-shifters required. It is therefore recommended to use the “PIPELINED” cordic.</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675297"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675297"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675297"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675297"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675297"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drawing>
          <wp:inline distT="0" distB="0" distL="0" distR="0">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39" w:name="_Toc5152695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E23C5">
        <w:rPr>
          <w:noProof/>
          <w:lang w:val="en-US"/>
        </w:rPr>
        <w:t>18</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39"/>
    </w:p>
    <w:bookmarkEnd w:id="0"/>
    <w:p w:rsidR="001A346F" w:rsidRPr="006A2AA2" w:rsidRDefault="001A346F" w:rsidP="006A2AA2">
      <w:pPr>
        <w:rPr>
          <w:lang w:val="en-US"/>
        </w:rPr>
      </w:pPr>
    </w:p>
    <w:sectPr w:rsidR="001A346F" w:rsidRPr="006A2AA2" w:rsidSect="002E7A28">
      <w:headerReference w:type="default" r:id="rId28"/>
      <w:footerReference w:type="default" r:id="rId2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511" w:rsidRDefault="00476511">
      <w:r>
        <w:separator/>
      </w:r>
    </w:p>
  </w:endnote>
  <w:endnote w:type="continuationSeparator" w:id="0">
    <w:p w:rsidR="00476511" w:rsidRDefault="004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Pr="00B20A69" w:rsidRDefault="0067529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28.05.2018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E23C5">
      <w:rPr>
        <w:rFonts w:cs="Arial"/>
        <w:noProof/>
        <w:sz w:val="16"/>
        <w:szCs w:val="16"/>
      </w:rPr>
      <w:t>36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511" w:rsidRDefault="00476511">
      <w:r>
        <w:separator/>
      </w:r>
    </w:p>
  </w:footnote>
  <w:footnote w:type="continuationSeparator" w:id="0">
    <w:p w:rsidR="00476511" w:rsidRDefault="00476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Default="00675297">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D8FE1-DE29-422F-B04A-0E47C2E8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A90FE6E.dotm</Template>
  <TotalTime>0</TotalTime>
  <Pages>36</Pages>
  <Words>6165</Words>
  <Characters>38846</Characters>
  <Application>Microsoft Office Word</Application>
  <DocSecurity>0</DocSecurity>
  <Lines>323</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73</cp:revision>
  <cp:lastPrinted>2018-05-23T09:19:00Z</cp:lastPrinted>
  <dcterms:created xsi:type="dcterms:W3CDTF">2018-01-03T08:19:00Z</dcterms:created>
  <dcterms:modified xsi:type="dcterms:W3CDTF">2018-05-28T09:16:00Z</dcterms:modified>
</cp:coreProperties>
</file>