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78" w:lineRule="exact" w:before="400" w:after="0"/>
        <w:ind w:left="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architecture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Famework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API.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autoSpaceDE w:val="0"/>
        <w:widowControl/>
        <w:spacing w:line="200" w:lineRule="exact" w:before="2624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62" w:val="left"/>
        </w:tabs>
        <w:autoSpaceDE w:val="0"/>
        <w:widowControl/>
        <w:spacing w:line="290" w:lineRule="exact" w:before="286" w:after="0"/>
        <w:ind w:left="8" w:right="0" w:firstLine="0"/>
        <w:jc w:val="left"/>
      </w:pPr>
      <w:r>
        <w:rPr>
          <w:w w:val="98.9261531829834"/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hereby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granted,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free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charge,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person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obtaining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without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restriction,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publish,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distribute,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74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0"/>
        <w:gridCol w:w="4720"/>
      </w:tblGrid>
      <w:tr>
        <w:trPr>
          <w:trHeight w:hRule="exact" w:val="232"/>
        </w:trPr>
        <w:tc>
          <w:tcPr>
            <w:tcW w:type="dxa" w:w="4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40" w:lineRule="exact" w:before="176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contributors.</w:t>
      </w:r>
    </w:p>
    <w:p>
      <w:pPr>
        <w:autoSpaceDN w:val="0"/>
        <w:tabs>
          <w:tab w:pos="28" w:val="left"/>
        </w:tabs>
        <w:autoSpaceDE w:val="0"/>
        <w:widowControl/>
        <w:spacing w:line="294" w:lineRule="exact" w:before="10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Guide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Documentation_Guide.md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54" w:lineRule="exact" w:before="144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Glossary_Reference.md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56" w:lineRule="exact" w:before="144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printer-friendly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PDF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available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docs/pdf/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260" w:lineRule="exact" w:before="362" w:after="214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26.0000000000002" w:type="dxa"/>
      </w:tblPr>
      <w:tblGrid>
        <w:gridCol w:w="1573"/>
        <w:gridCol w:w="1573"/>
        <w:gridCol w:w="1573"/>
        <w:gridCol w:w="1573"/>
        <w:gridCol w:w="1573"/>
        <w:gridCol w:w="1573"/>
      </w:tblGrid>
      <w:tr>
        <w:trPr>
          <w:trHeight w:hRule="exact" w:val="384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0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26" w:val="left"/>
        </w:tabs>
        <w:autoSpaceDE w:val="0"/>
        <w:widowControl/>
        <w:spacing w:line="264" w:lineRule="exact" w:before="318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20" w:val="left"/>
        </w:tabs>
        <w:autoSpaceDE w:val="0"/>
        <w:widowControl/>
        <w:spacing w:line="286" w:lineRule="exact" w:before="0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document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518" w:val="left"/>
        </w:tabs>
        <w:autoSpaceDE w:val="0"/>
        <w:widowControl/>
        <w:spacing w:line="278" w:lineRule="exact" w:before="0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column records the Test API version current at the time this document version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2" w:after="0"/>
        <w:ind w:left="24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86" w:lineRule="exact" w:before="98" w:after="6028"/>
        <w:ind w:left="28" w:right="44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0"/>
        <w:gridCol w:w="4720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04"/>
        <w:gridCol w:w="4704"/>
      </w:tblGrid>
      <w:tr>
        <w:trPr>
          <w:trHeight w:hRule="exact" w:val="232"/>
        </w:trPr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>Contents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</w:t>
      </w:r>
    </w:p>
    <w:p>
      <w:pPr>
        <w:autoSpaceDN w:val="0"/>
        <w:autoSpaceDE w:val="0"/>
        <w:widowControl/>
        <w:spacing w:line="246" w:lineRule="exact" w:before="158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>??</w:t>
      </w:r>
    </w:p>
    <w:p>
      <w:pPr>
        <w:autoSpaceDN w:val="0"/>
        <w:autoSpaceDE w:val="0"/>
        <w:widowControl/>
        <w:spacing w:line="238" w:lineRule="exact" w:before="154" w:after="11828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14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04"/>
        <w:gridCol w:w="4704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40" w:lineRule="exact" w:before="17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Basic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high-level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goals.</w:t>
      </w:r>
    </w:p>
    <w:p>
      <w:pPr>
        <w:autoSpaceDN w:val="0"/>
        <w:autoSpaceDE w:val="0"/>
        <w:widowControl/>
        <w:spacing w:line="244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/>
          <w:color w:val="000000"/>
          <w:sz w:val="24"/>
        </w:rPr>
        <w:t>symbol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including:</w:t>
      </w:r>
    </w:p>
    <w:p>
      <w:pPr>
        <w:autoSpaceDN w:val="0"/>
        <w:autoSpaceDE w:val="0"/>
        <w:widowControl/>
        <w:spacing w:line="280" w:lineRule="exact" w:before="114" w:after="0"/>
        <w:ind w:left="224" w:right="648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</w:p>
    <w:p>
      <w:pPr>
        <w:autoSpaceDN w:val="0"/>
        <w:autoSpaceDE w:val="0"/>
        <w:widowControl/>
        <w:spacing w:line="274" w:lineRule="exact" w:before="140" w:after="0"/>
        <w:ind w:left="8" w:right="66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Some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symbols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exposed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symbols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visible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correctly,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directly.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reflects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requirements,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usage.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modify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symbols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needed,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contract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remains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intact.</w:t>
      </w:r>
    </w:p>
    <w:p>
      <w:pPr>
        <w:autoSpaceDN w:val="0"/>
        <w:autoSpaceDE w:val="0"/>
        <w:widowControl/>
        <w:spacing w:line="258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1.1</w:t>
      </w:r>
      <w:r>
        <w:rPr>
          <w:rFonts w:ascii="LMRoman12" w:hAnsi="LMRoman12" w:eastAsia="LMRoman12"/>
          <w:b/>
          <w:i w:val="0"/>
          <w:color w:val="000000"/>
          <w:sz w:val="26"/>
        </w:rPr>
        <w:t>Public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Roman12" w:hAnsi="LMRoman12" w:eastAsia="LMRoman12"/>
          <w:b/>
          <w:i w:val="0"/>
          <w:color w:val="000000"/>
          <w:sz w:val="26"/>
        </w:rPr>
        <w:t>Internal</w:t>
      </w:r>
      <w:r>
        <w:rPr>
          <w:rFonts w:ascii="LMRoman12" w:hAnsi="LMRoman12" w:eastAsia="LMRoman12"/>
          <w:b/>
          <w:i w:val="0"/>
          <w:color w:val="000000"/>
          <w:sz w:val="26"/>
        </w:rPr>
        <w:t>Naming</w:t>
      </w:r>
      <w:r>
        <w:rPr>
          <w:rFonts w:ascii="LMRoman12" w:hAnsi="LMRoman12" w:eastAsia="LMRoman12"/>
          <w:b/>
          <w:i w:val="0"/>
          <w:color w:val="000000"/>
          <w:sz w:val="26"/>
        </w:rPr>
        <w:t>Conventions</w:t>
      </w:r>
    </w:p>
    <w:p>
      <w:pPr>
        <w:autoSpaceDN w:val="0"/>
        <w:autoSpaceDE w:val="0"/>
        <w:widowControl/>
        <w:spacing w:line="294" w:lineRule="exact" w:before="78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visible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ra_...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lowercase)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RA_...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uppercase).</w:t>
      </w:r>
    </w:p>
    <w:p>
      <w:pPr>
        <w:autoSpaceDN w:val="0"/>
        <w:autoSpaceDE w:val="0"/>
        <w:widowControl/>
        <w:spacing w:line="278" w:lineRule="exact" w:before="104" w:after="0"/>
        <w:ind w:left="8" w:right="62" w:hanging="8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Any framework names that are internal (but technically visible to Bunner API users) have 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ra_internal_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RA_INTERNAL_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users.</w:t>
      </w:r>
    </w:p>
    <w:p>
      <w:pPr>
        <w:autoSpaceDN w:val="0"/>
        <w:autoSpaceDE w:val="0"/>
        <w:widowControl/>
        <w:spacing w:line="278" w:lineRule="exact" w:before="136" w:after="5304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reference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names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prefixed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ra_internal_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RA_INTERNAL_‘.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Architecture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Overview</w:t>
            </w:r>
          </w:p>
        </w:tc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530" w:lineRule="exact" w:before="234" w:after="10392"/>
        <w:ind w:left="220" w:right="5616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Architecture</w:t>
      </w:r>
      <w:r>
        <w:rPr>
          <w:rFonts w:ascii="LMRoman12" w:hAnsi="LMRoman12" w:eastAsia="LMRoman12"/>
          <w:b/>
          <w:i w:val="0"/>
          <w:color w:val="000000"/>
          <w:sz w:val="30"/>
        </w:rPr>
        <w:t>Overview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flow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Orchestrator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Internals</w:t>
            </w:r>
          </w:p>
        </w:tc>
      </w:tr>
    </w:tbl>
    <w:p>
      <w:pPr>
        <w:autoSpaceDN w:val="0"/>
        <w:autoSpaceDE w:val="0"/>
        <w:widowControl/>
        <w:spacing w:line="522" w:lineRule="exact" w:before="242" w:after="10950"/>
        <w:ind w:left="220" w:right="5616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3.</w:t>
      </w:r>
      <w:r>
        <w:rPr>
          <w:rFonts w:ascii="LMRoman12" w:hAnsi="LMRoman12" w:eastAsia="LMRoman12"/>
          <w:b/>
          <w:i w:val="0"/>
          <w:color w:val="000000"/>
          <w:sz w:val="30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30"/>
        </w:rPr>
        <w:t>Internals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lifecycle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aggregation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95"/>
        <w:gridCol w:w="4695"/>
      </w:tblGrid>
      <w:tr>
        <w:trPr>
          <w:trHeight w:hRule="exact" w:val="232"/>
        </w:trPr>
        <w:tc>
          <w:tcPr>
            <w:tcW w:type="dxa" w:w="49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Group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Internals</w:t>
            </w:r>
          </w:p>
        </w:tc>
        <w:tc>
          <w:tcPr>
            <w:tcW w:type="dxa" w:w="44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4.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Group</w:t>
      </w:r>
      <w:r>
        <w:rPr>
          <w:rFonts w:ascii="LMRoman12" w:hAnsi="LMRoman12" w:eastAsia="LMRoman12"/>
          <w:b/>
          <w:i w:val="0"/>
          <w:color w:val="000000"/>
          <w:sz w:val="30"/>
        </w:rPr>
        <w:t>Internals</w:t>
      </w:r>
    </w:p>
    <w:p>
      <w:pPr>
        <w:autoSpaceDN w:val="0"/>
        <w:autoSpaceDE w:val="0"/>
        <w:widowControl/>
        <w:spacing w:line="278" w:lineRule="exact" w:before="138" w:after="12066"/>
        <w:ind w:left="222" w:right="662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scheduling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accumulation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95"/>
        <w:gridCol w:w="4695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Engine</w:t>
            </w:r>
          </w:p>
        </w:tc>
      </w:tr>
    </w:tbl>
    <w:p>
      <w:pPr>
        <w:autoSpaceDN w:val="0"/>
        <w:autoSpaceDE w:val="0"/>
        <w:widowControl/>
        <w:spacing w:line="522" w:lineRule="exact" w:before="242" w:after="10950"/>
        <w:ind w:left="220" w:right="5616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5.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Execution</w:t>
      </w:r>
      <w:r>
        <w:rPr>
          <w:rFonts w:ascii="LMRoman12" w:hAnsi="LMRoman12" w:eastAsia="LMRoman12"/>
          <w:b/>
          <w:i w:val="0"/>
          <w:color w:val="000000"/>
          <w:sz w:val="30"/>
        </w:rPr>
        <w:t>Engine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propagation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51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Process-Isolated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Execution</w:t>
            </w:r>
          </w:p>
        </w:tc>
        <w:tc>
          <w:tcPr>
            <w:tcW w:type="dxa" w:w="41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522" w:lineRule="exact" w:before="242" w:after="10950"/>
        <w:ind w:left="220" w:right="4896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6.</w:t>
      </w:r>
      <w:r>
        <w:rPr>
          <w:rFonts w:ascii="LMRoman12" w:hAnsi="LMRoman12" w:eastAsia="LMRoman12"/>
          <w:b/>
          <w:i w:val="0"/>
          <w:color w:val="000000"/>
          <w:sz w:val="30"/>
        </w:rPr>
        <w:t>Process-Isolated</w:t>
      </w:r>
      <w:r>
        <w:rPr>
          <w:rFonts w:ascii="LMRoman12" w:hAnsi="LMRoman12" w:eastAsia="LMRoman12"/>
          <w:b/>
          <w:i w:val="0"/>
          <w:color w:val="000000"/>
          <w:sz w:val="30"/>
        </w:rPr>
        <w:t>Execution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Monitoring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timeouts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interpretation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mapping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1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1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Thread-Isolated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Execution</w:t>
            </w:r>
          </w:p>
        </w:tc>
      </w:tr>
    </w:tbl>
    <w:p>
      <w:pPr>
        <w:autoSpaceDN w:val="0"/>
        <w:autoSpaceDE w:val="0"/>
        <w:widowControl/>
        <w:spacing w:line="510" w:lineRule="exact" w:before="254" w:after="11508"/>
        <w:ind w:left="220" w:right="5040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7.</w:t>
      </w:r>
      <w:r>
        <w:rPr>
          <w:rFonts w:ascii="LMRoman12" w:hAnsi="LMRoman12" w:eastAsia="LMRoman12"/>
          <w:b/>
          <w:i w:val="0"/>
          <w:color w:val="000000"/>
          <w:sz w:val="30"/>
        </w:rPr>
        <w:t>Thread-Isolated</w:t>
      </w:r>
      <w:r>
        <w:rPr>
          <w:rFonts w:ascii="LMRoman12" w:hAnsi="LMRoman12" w:eastAsia="LMRoman12"/>
          <w:b/>
          <w:i w:val="0"/>
          <w:color w:val="000000"/>
          <w:sz w:val="30"/>
        </w:rPr>
        <w:t>Execution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Synchronization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boundaries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9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Signal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Guard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System</w:t>
            </w:r>
          </w:p>
        </w:tc>
        <w:tc>
          <w:tcPr>
            <w:tcW w:type="dxa" w:w="44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522" w:lineRule="exact" w:before="242" w:after="10950"/>
        <w:ind w:left="220" w:right="5760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8.</w:t>
      </w:r>
      <w:r>
        <w:rPr>
          <w:rFonts w:ascii="LMRoman12" w:hAnsi="LMRoman12" w:eastAsia="LMRoman12"/>
          <w:b/>
          <w:i w:val="0"/>
          <w:color w:val="000000"/>
          <w:sz w:val="30"/>
        </w:rPr>
        <w:t>Signal</w:t>
      </w:r>
      <w:r>
        <w:rPr>
          <w:rFonts w:ascii="LMRoman12" w:hAnsi="LMRoman12" w:eastAsia="LMRoman12"/>
          <w:b/>
          <w:i w:val="0"/>
          <w:color w:val="000000"/>
          <w:sz w:val="30"/>
        </w:rPr>
        <w:t>Guard</w:t>
      </w:r>
      <w:r>
        <w:rPr>
          <w:rFonts w:ascii="LMRoman12" w:hAnsi="LMRoman12" w:eastAsia="LMRoman12"/>
          <w:b/>
          <w:i w:val="0"/>
          <w:color w:val="000000"/>
          <w:sz w:val="30"/>
        </w:rPr>
        <w:t>System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Installed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handlers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1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2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Generation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Internals</w:t>
            </w:r>
          </w:p>
        </w:tc>
      </w:tr>
    </w:tbl>
    <w:p>
      <w:pPr>
        <w:autoSpaceDN w:val="0"/>
        <w:autoSpaceDE w:val="0"/>
        <w:widowControl/>
        <w:spacing w:line="522" w:lineRule="exact" w:before="242" w:after="10950"/>
        <w:ind w:left="220" w:right="4752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9.</w:t>
      </w:r>
      <w:r>
        <w:rPr>
          <w:rFonts w:ascii="LMRoman12" w:hAnsi="LMRoman12" w:eastAsia="LMRoman12"/>
          <w:b/>
          <w:i w:val="0"/>
          <w:color w:val="000000"/>
          <w:sz w:val="30"/>
        </w:rPr>
        <w:t>Report</w:t>
      </w:r>
      <w:r>
        <w:rPr>
          <w:rFonts w:ascii="LMRoman12" w:hAnsi="LMRoman12" w:eastAsia="LMRoman12"/>
          <w:b/>
          <w:i w:val="0"/>
          <w:color w:val="000000"/>
          <w:sz w:val="30"/>
        </w:rPr>
        <w:t>Generation</w:t>
      </w:r>
      <w:r>
        <w:rPr>
          <w:rFonts w:ascii="LMRoman12" w:hAnsi="LMRoman12" w:eastAsia="LMRoman12"/>
          <w:b/>
          <w:i w:val="0"/>
          <w:color w:val="000000"/>
          <w:sz w:val="30"/>
        </w:rPr>
        <w:t>Internals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formatting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messages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56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Internal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State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Global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Variables</w:t>
            </w:r>
          </w:p>
        </w:tc>
        <w:tc>
          <w:tcPr>
            <w:tcW w:type="dxa" w:w="37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10.</w:t>
      </w:r>
      <w:r>
        <w:rPr>
          <w:rFonts w:ascii="LMRoman12" w:hAnsi="LMRoman12" w:eastAsia="LMRoman12"/>
          <w:b/>
          <w:i w:val="0"/>
          <w:color w:val="000000"/>
          <w:sz w:val="30"/>
        </w:rPr>
        <w:t>Internal</w:t>
      </w:r>
      <w:r>
        <w:rPr>
          <w:rFonts w:ascii="LMRoman12" w:hAnsi="LMRoman12" w:eastAsia="LMRoman12"/>
          <w:b/>
          <w:i w:val="0"/>
          <w:color w:val="000000"/>
          <w:sz w:val="30"/>
        </w:rPr>
        <w:t>State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Global</w:t>
      </w:r>
      <w:r>
        <w:rPr>
          <w:rFonts w:ascii="LMRoman12" w:hAnsi="LMRoman12" w:eastAsia="LMRoman12"/>
          <w:b/>
          <w:i w:val="0"/>
          <w:color w:val="000000"/>
          <w:sz w:val="30"/>
        </w:rPr>
        <w:t>Variables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36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7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Error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Handling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Safety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Guarantees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11.</w:t>
      </w:r>
      <w:r>
        <w:rPr>
          <w:rFonts w:ascii="LMRoman12" w:hAnsi="LMRoman12" w:eastAsia="LMRoman12"/>
          <w:b/>
          <w:i w:val="0"/>
          <w:color w:val="000000"/>
          <w:sz w:val="30"/>
        </w:rPr>
        <w:t>Error</w:t>
      </w:r>
      <w:r>
        <w:rPr>
          <w:rFonts w:ascii="LMRoman12" w:hAnsi="LMRoman12" w:eastAsia="LMRoman12"/>
          <w:b/>
          <w:i w:val="0"/>
          <w:color w:val="000000"/>
          <w:sz w:val="30"/>
        </w:rPr>
        <w:t>Handling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Safety</w:t>
      </w:r>
      <w:r>
        <w:rPr>
          <w:rFonts w:ascii="LMRoman12" w:hAnsi="LMRoman12" w:eastAsia="LMRoman12"/>
          <w:b/>
          <w:i w:val="0"/>
          <w:color w:val="000000"/>
          <w:sz w:val="30"/>
        </w:rPr>
        <w:t>Guarantees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5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Implementation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Notes</w:t>
            </w:r>
          </w:p>
        </w:tc>
        <w:tc>
          <w:tcPr>
            <w:tcW w:type="dxa" w:w="4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510" w:lineRule="exact" w:before="254" w:after="11508"/>
        <w:ind w:left="226" w:right="5472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12.</w:t>
      </w:r>
      <w:r>
        <w:rPr>
          <w:rFonts w:ascii="LMRoman12" w:hAnsi="LMRoman12" w:eastAsia="LMRoman12"/>
          <w:b/>
          <w:i w:val="0"/>
          <w:color w:val="000000"/>
          <w:sz w:val="30"/>
        </w:rPr>
        <w:t>Implementation</w:t>
      </w:r>
      <w:r>
        <w:rPr>
          <w:rFonts w:ascii="LMRoman12" w:hAnsi="LMRoman12" w:eastAsia="LMRoman12"/>
          <w:b/>
          <w:i w:val="0"/>
          <w:color w:val="000000"/>
          <w:sz w:val="30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Portability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considerations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dependencies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Platform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Future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Improvements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13.</w:t>
      </w:r>
      <w:r>
        <w:rPr>
          <w:rFonts w:ascii="LMRoman12" w:hAnsi="LMRoman12" w:eastAsia="LMRoman12"/>
          <w:b/>
          <w:i w:val="0"/>
          <w:color w:val="000000"/>
          <w:sz w:val="30"/>
        </w:rPr>
        <w:t>Future</w:t>
      </w:r>
      <w:r>
        <w:rPr>
          <w:rFonts w:ascii="LMRoman12" w:hAnsi="LMRoman12" w:eastAsia="LMRoman12"/>
          <w:b/>
          <w:i w:val="0"/>
          <w:color w:val="000000"/>
          <w:sz w:val="30"/>
        </w:rPr>
        <w:t>Improvements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roadmap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items.)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5"/>
        <w:gridCol w:w="4715"/>
      </w:tblGrid>
      <w:tr>
        <w:trPr>
          <w:trHeight w:hRule="exact" w:val="232"/>
        </w:trPr>
        <w:tc>
          <w:tcPr>
            <w:tcW w:type="dxa" w:w="42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  <w:tc>
          <w:tcPr>
            <w:tcW w:type="dxa" w:w="51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Glossary</w:t>
      </w:r>
    </w:p>
    <w:p>
      <w:pPr>
        <w:autoSpaceDN w:val="0"/>
        <w:autoSpaceDE w:val="0"/>
        <w:widowControl/>
        <w:spacing w:line="240" w:lineRule="exact" w:before="176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document.</w:t>
      </w:r>
    </w:p>
    <w:p>
      <w:pPr>
        <w:autoSpaceDN w:val="0"/>
        <w:autoSpaceDE w:val="0"/>
        <w:widowControl/>
        <w:spacing w:line="240" w:lineRule="exact" w:before="158" w:after="0"/>
        <w:ind w:left="1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Runner-Specific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Terms: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3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Orchestrator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Lifecycle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sequence of initialization, group execution, test execution,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tabs>
          <w:tab w:pos="508" w:val="left"/>
        </w:tabs>
        <w:autoSpaceDE w:val="0"/>
        <w:widowControl/>
        <w:spacing w:line="276" w:lineRule="exact" w:before="6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Guard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Behavior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mechanism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catch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segmen-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/>
          <w:i w:val="0"/>
          <w:color w:val="000000"/>
          <w:sz w:val="24"/>
        </w:rPr>
        <w:t>Semantics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containment.</w:t>
      </w:r>
    </w:p>
    <w:p>
      <w:pPr>
        <w:autoSpaceDN w:val="0"/>
        <w:tabs>
          <w:tab w:pos="508" w:val="left"/>
        </w:tabs>
        <w:autoSpaceDE w:val="0"/>
        <w:widowControl/>
        <w:spacing w:line="286" w:lineRule="exact" w:before="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Concurrency</w:t>
      </w:r>
      <w:r>
        <w:rPr>
          <w:rFonts w:ascii="LMRoman12" w:hAnsi="LMRoman12" w:eastAsia="LMRoman12"/>
          <w:b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within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/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blocks.</w:t>
      </w:r>
    </w:p>
    <w:p>
      <w:pPr>
        <w:autoSpaceDN w:val="0"/>
        <w:tabs>
          <w:tab w:pos="508" w:val="left"/>
        </w:tabs>
        <w:autoSpaceDE w:val="0"/>
        <w:widowControl/>
        <w:spacing w:line="272" w:lineRule="exact" w:before="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/>
          <w:i w:val="0"/>
          <w:color w:val="000000"/>
          <w:sz w:val="24"/>
        </w:rPr>
        <w:t>Phases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initializa-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dispatch,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dispatch,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writing.</w:t>
      </w:r>
    </w:p>
    <w:p>
      <w:pPr>
        <w:autoSpaceDN w:val="0"/>
        <w:tabs>
          <w:tab w:pos="500" w:val="left"/>
        </w:tabs>
        <w:autoSpaceDE w:val="0"/>
        <w:widowControl/>
        <w:spacing w:line="276" w:lineRule="exact" w:before="6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Fault</w:t>
      </w:r>
      <w:r>
        <w:rPr>
          <w:rFonts w:ascii="LMRoman12" w:hAnsi="LMRoman12" w:eastAsia="LMRoman12"/>
          <w:b/>
          <w:i w:val="0"/>
          <w:color w:val="000000"/>
          <w:sz w:val="24"/>
        </w:rPr>
        <w:t>Handling</w:t>
      </w:r>
      <w:r>
        <w:rPr>
          <w:rFonts w:ascii="LMRoman12" w:hAnsi="LMRoman12" w:eastAsia="LMRoman12"/>
          <w:b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strategy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faults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</w:p>
    <w:p>
      <w:pPr>
        <w:autoSpaceDN w:val="0"/>
        <w:tabs>
          <w:tab w:pos="508" w:val="left"/>
        </w:tabs>
        <w:autoSpaceDE w:val="0"/>
        <w:widowControl/>
        <w:spacing w:line="272" w:lineRule="exact" w:before="12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Control</w:t>
      </w:r>
      <w:r>
        <w:rPr>
          <w:rFonts w:ascii="LMRoman12" w:hAnsi="LMRoman12" w:eastAsia="LMRoman12"/>
          <w:b/>
          <w:i w:val="0"/>
          <w:color w:val="000000"/>
          <w:sz w:val="24"/>
        </w:rPr>
        <w:t>File</w:t>
      </w:r>
      <w:r>
        <w:rPr>
          <w:rFonts w:ascii="LMRoman12" w:hAnsi="LMRoman12" w:eastAsia="LMRoman12"/>
          <w:b/>
          <w:i w:val="0"/>
          <w:color w:val="000000"/>
          <w:sz w:val="24"/>
        </w:rPr>
        <w:t>Promotion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replacing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outdated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intentional.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Nested</w:t>
      </w:r>
      <w:r>
        <w:rPr>
          <w:rFonts w:ascii="LMRoman12" w:hAnsi="LMRoman12" w:eastAsia="LMRoman12"/>
          <w:b/>
          <w:i w:val="0"/>
          <w:color w:val="000000"/>
          <w:sz w:val="24"/>
        </w:rPr>
        <w:t>Group</w:t>
      </w:r>
      <w:r>
        <w:rPr>
          <w:rFonts w:ascii="LMRoman12" w:hAnsi="LMRoman12" w:eastAsia="LMRoman12"/>
          <w:b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groups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propagate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structures.</w:t>
      </w:r>
    </w:p>
    <w:p>
      <w:pPr>
        <w:autoSpaceDN w:val="0"/>
        <w:tabs>
          <w:tab w:pos="500" w:val="left"/>
        </w:tabs>
        <w:autoSpaceDE w:val="0"/>
        <w:widowControl/>
        <w:spacing w:line="272" w:lineRule="exact" w:before="14" w:after="7086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/>
          <w:i w:val="0"/>
          <w:color w:val="000000"/>
          <w:sz w:val="24"/>
        </w:rPr>
        <w:t>Block</w:t>
      </w:r>
      <w:r>
        <w:rPr>
          <w:rFonts w:ascii="LMRoman12" w:hAnsi="LMRoman12" w:eastAsia="LMRoman12"/>
          <w:b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parallel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5"/>
        <w:gridCol w:w="4715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380" w:bottom="400" w:left="143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