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Test_Reference</w:t>
      </w:r>
    </w:p>
    <w:p>
      <w:pPr>
        <w:pStyle w:val="FirstParagraph"/>
      </w:pPr>
      <w:r>
        <w:t xml:space="preserve">This document summarizes the public Test API declared in</w:t>
      </w:r>
      <w:r>
        <w:t xml:space="preserve"> </w:t>
      </w:r>
      <w:r>
        <w:rPr>
          <w:rStyle w:val="VerbatimChar"/>
        </w:rPr>
        <w:t xml:space="preserve">include/testapi.h</w:t>
      </w:r>
      <w:r>
        <w:t xml:space="preserve">.</w:t>
      </w:r>
      <w:r>
        <w:t xml:space="preserve"> </w:t>
      </w:r>
      <w:r>
        <w:t xml:space="preserve">It focuses on the helper-specific return conventions and the option structs used by the</w:t>
      </w:r>
      <w:r>
        <w:t xml:space="preserve"> </w:t>
      </w:r>
      <w:r>
        <w:t xml:space="preserve">comparison helpers.</w:t>
      </w:r>
    </w:p>
    <w:bookmarkStart w:id="20" w:name="copyright-c-2026-paul-sinclair"/>
    <w:p>
      <w:pPr>
        <w:pStyle w:val="Heading4"/>
      </w:pPr>
      <w:r>
        <w:t xml:space="preserve">Copyright (c) 2026 Paul Sinclair</w:t>
      </w:r>
    </w:p>
    <w:bookmarkEnd w:id="20"/>
    <w:bookmarkStart w:id="21" w:name="license"/>
    <w:p>
      <w:pPr>
        <w:pStyle w:val="Heading3"/>
      </w:pPr>
      <w:r>
        <w:t xml:space="preserve">License</w:t>
      </w:r>
    </w:p>
    <w:p>
      <w:pPr>
        <w:pStyle w:val="FirstParagraph"/>
      </w:pPr>
      <w:r>
        <w:t xml:space="preserve">SPDX-License-Identifier: MIT</w:t>
      </w:r>
    </w:p>
    <w:p>
      <w:pPr>
        <w:pStyle w:val="BodyText"/>
      </w:pPr>
      <w:r>
        <w:t xml:space="preserve">Permission is hereby granted, free of charge, to any person obtaining a copy</w:t>
      </w:r>
      <w:r>
        <w:t xml:space="preserve"> </w:t>
      </w:r>
      <w:r>
        <w:t xml:space="preserve">of this software and associated documentation files (the</w:t>
      </w:r>
      <w:r>
        <w:t xml:space="preserve"> </w:t>
      </w:r>
      <w:r>
        <w:t xml:space="preserve">“</w:t>
      </w:r>
      <w:r>
        <w:t xml:space="preserve">Software</w:t>
      </w:r>
      <w:r>
        <w:t xml:space="preserve">”</w:t>
      </w:r>
      <w:r>
        <w:t xml:space="preserve">), to deal</w:t>
      </w:r>
      <w:r>
        <w:t xml:space="preserve"> </w:t>
      </w:r>
      <w:r>
        <w:t xml:space="preserve">in the Software without restriction, including without limitation the rights</w:t>
      </w:r>
      <w:r>
        <w:t xml:space="preserve"> </w:t>
      </w:r>
      <w:r>
        <w:t xml:space="preserve">to use, copy, modify, merge, publish, distribute, sublicense, and/or sell</w:t>
      </w:r>
      <w:r>
        <w:t xml:space="preserve"> </w:t>
      </w:r>
      <w:r>
        <w:t xml:space="preserve">copies of the Software, and to permit persons to whom the Software is</w:t>
      </w:r>
      <w:r>
        <w:t xml:space="preserve"> </w:t>
      </w:r>
      <w:r>
        <w:t xml:space="preserve">furnished to do so, subject to the following conditions:</w:t>
      </w:r>
    </w:p>
    <w:p>
      <w:pPr>
        <w:pStyle w:val="BodyText"/>
      </w:pPr>
      <w:r>
        <w:t xml:space="preserve">The above copyright notice and this permission notice shall be included in all</w:t>
      </w:r>
      <w:r>
        <w:t xml:space="preserve"> </w:t>
      </w:r>
      <w:r>
        <w:t xml:space="preserve">copies or substantial portions of the Software.</w:t>
      </w:r>
    </w:p>
    <w:p>
      <w:pPr>
        <w:pStyle w:val="BodyText"/>
      </w:pPr>
      <w:r>
        <w:t xml:space="preserve">THE SOFTWARE IS PROVIDED</w:t>
      </w:r>
      <w:r>
        <w:t xml:space="preserve"> </w:t>
      </w:r>
      <w:r>
        <w:t xml:space="preserve">“</w:t>
      </w:r>
      <w:r>
        <w:t xml:space="preserve">AS IS</w:t>
      </w:r>
      <w:r>
        <w:t xml:space="preserve">”</w:t>
      </w:r>
      <w:r>
        <w:t xml:space="preserve">, WITHOUT WARRANTY OF ANY KIND, EXPRESS OR</w:t>
      </w:r>
      <w:r>
        <w:t xml:space="preserve"> </w:t>
      </w:r>
      <w:r>
        <w:t xml:space="preserve">IMPLIED, INCLUDING BUT NOT LIMITED TO THE WARRANTIES OF MERCHANTABILITY,</w:t>
      </w:r>
      <w:r>
        <w:t xml:space="preserve"> </w:t>
      </w:r>
      <w:r>
        <w:t xml:space="preserve">FITNESS FOR A PARTICULAR PURPOSE AND NONINFRINGEMENT. IN NO EVENT SHALL THE</w:t>
      </w:r>
      <w:r>
        <w:t xml:space="preserve"> </w:t>
      </w:r>
      <w:r>
        <w:t xml:space="preserve">AUTHORS OR COPYRIGHT HOLDERS BE LIABLE FOR ANY CLAIM, DAMAGES OR OTHER</w:t>
      </w:r>
      <w:r>
        <w:t xml:space="preserve"> </w:t>
      </w:r>
      <w:r>
        <w:t xml:space="preserve">LIABILITY, WHETHER IN AN ACTION OF CONTRACT, TORT OR OTHERWISE, ARISING FROM,</w:t>
      </w:r>
      <w:r>
        <w:t xml:space="preserve"> </w:t>
      </w:r>
      <w:r>
        <w:t xml:space="preserve">OUT OF OR IN CONNECTION WITH THE SOFTWARE OR THE USE OR OTHER DEALINGS IN THE</w:t>
      </w:r>
      <w:r>
        <w:t xml:space="preserve"> </w:t>
      </w:r>
      <w:r>
        <w:t xml:space="preserve">SOFTWARE.</w:t>
      </w:r>
    </w:p>
    <w:bookmarkEnd w:id="21"/>
    <w:bookmarkStart w:id="23" w:name="preface"/>
    <w:p>
      <w:pPr>
        <w:pStyle w:val="Heading2"/>
      </w:pPr>
      <w:r>
        <w:t xml:space="preserve">Preface</w:t>
      </w:r>
    </w:p>
    <w:p>
      <w:pPr>
        <w:pStyle w:val="FirstParagraph"/>
      </w:pPr>
      <w:r>
        <w:t xml:space="preserve">This document is intended for users and contributors who need</w:t>
      </w:r>
      <w:r>
        <w:t xml:space="preserve"> </w:t>
      </w:r>
      <w:r>
        <w:t xml:space="preserve">a reference for the Test API.</w:t>
      </w:r>
    </w:p>
    <w:p>
      <w:pPr>
        <w:pStyle w:val="BodyText"/>
      </w:pPr>
      <w:r>
        <w:t xml:space="preserve">For a list of other documents and the repository layout, see</w:t>
      </w:r>
      <w:r>
        <w:t xml:space="preserve"> </w:t>
      </w:r>
      <w:r>
        <w:t xml:space="preserve">the Documentation Guide.</w:t>
      </w:r>
    </w:p>
    <w:p>
      <w:pPr>
        <w:pStyle w:val="BodyText"/>
      </w:pPr>
      <w:r>
        <w:t xml:space="preserve">For a glossary of terms, see the Glossary Reference.</w:t>
      </w:r>
    </w:p>
    <w:p>
      <w:pPr>
        <w:pStyle w:val="BodyText"/>
      </w:pPr>
      <w:r>
        <w:t xml:space="preserve">A printer-friendly PDF file for this document is available in</w:t>
      </w:r>
      <w:r>
        <w:t xml:space="preserve"> </w:t>
      </w:r>
      <w:r>
        <w:rPr>
          <w:rStyle w:val="VerbatimChar"/>
        </w:rPr>
        <w:t xml:space="preserve">docs/pdf/</w:t>
      </w:r>
      <w:r>
        <w:t xml:space="preserve">.</w:t>
      </w:r>
    </w:p>
    <w:bookmarkStart w:id="22" w:name="document-version-history"/>
    <w:p>
      <w:pPr>
        <w:pStyle w:val="Heading3"/>
      </w:pPr>
      <w:r>
        <w:t xml:space="preserve">Document Version History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66"/>
        <w:gridCol w:w="880"/>
        <w:gridCol w:w="1173"/>
        <w:gridCol w:w="880"/>
        <w:gridCol w:w="1320"/>
        <w:gridCol w:w="22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Author/Editor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version.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Paul Sinclair</w:t>
            </w:r>
          </w:p>
        </w:tc>
      </w:tr>
    </w:tbl>
    <w:p>
      <w:pPr>
        <w:numPr>
          <w:ilvl w:val="0"/>
          <w:numId w:val="100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Document</w:t>
      </w:r>
      <w:r>
        <w:t xml:space="preserve"> </w:t>
      </w:r>
      <w:r>
        <w:t xml:space="preserve">column records the document’s version.</w:t>
      </w:r>
    </w:p>
    <w:p>
      <w:pPr>
        <w:numPr>
          <w:ilvl w:val="0"/>
          <w:numId w:val="100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Runner</w:t>
      </w:r>
      <w:r>
        <w:t xml:space="preserve"> </w:t>
      </w:r>
      <w:r>
        <w:t xml:space="preserve">column records the Runner API version</w:t>
      </w:r>
      <w:r>
        <w:t xml:space="preserve"> </w:t>
      </w:r>
      <w:r>
        <w:t xml:space="preserve">current at the time this version of the document was published.</w:t>
      </w:r>
    </w:p>
    <w:p>
      <w:pPr>
        <w:numPr>
          <w:ilvl w:val="0"/>
          <w:numId w:val="100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Test</w:t>
      </w:r>
      <w:r>
        <w:t xml:space="preserve"> </w:t>
      </w:r>
      <w:r>
        <w:t xml:space="preserve">column records the Test API version current at</w:t>
      </w:r>
      <w:r>
        <w:t xml:space="preserve"> </w:t>
      </w:r>
      <w:r>
        <w:t xml:space="preserve">the time this version of the document was published.</w:t>
      </w:r>
    </w:p>
    <w:p>
      <w:pPr>
        <w:pStyle w:val="FirstParagraph"/>
      </w:pPr>
      <w:r>
        <w:t xml:space="preserve">A version has the format</w:t>
      </w:r>
      <w:r>
        <w:t xml:space="preserve"> </w:t>
      </w:r>
      <w:r>
        <w:rPr>
          <w:rStyle w:val="VerbatimChar"/>
        </w:rPr>
        <w:t xml:space="preserve">M.m.p</w:t>
      </w:r>
      <w:r>
        <w:t xml:space="preserve"> </w:t>
      </w:r>
      <w:r>
        <w:t xml:space="preserve">(Major, minor, patch) where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is the</w:t>
      </w:r>
      <w:r>
        <w:t xml:space="preserve"> </w:t>
      </w:r>
      <w:r>
        <w:t xml:space="preserve">major version,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is the minor version, and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the patch version.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increments when the document is updated without a change to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</w:t>
      </w:r>
      <w:r>
        <w:t xml:space="preserve">,</w:t>
      </w:r>
      <w:r>
        <w:t xml:space="preserve"> </w:t>
      </w:r>
      <w:r>
        <w:t xml:space="preserve">and resets to 0 when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increases. The first table entry is the most</w:t>
      </w:r>
      <w:r>
        <w:t xml:space="preserve"> </w:t>
      </w:r>
      <w:r>
        <w:t xml:space="preserve">recent version for this document at the time this document was published.</w:t>
      </w:r>
    </w:p>
    <w:p>
      <w:pPr>
        <w:pStyle w:val="BodyText"/>
      </w:pPr>
    </w:p>
    <w:bookmarkEnd w:id="22"/>
    <w:bookmarkEnd w:id="23"/>
    <w:bookmarkStart w:id="24" w:name="table-of-contents"/>
    <w:p>
      <w:pPr>
        <w:pStyle w:val="Heading2"/>
      </w:pPr>
      <w:r>
        <w:t xml:space="preserve">Table of Contents</w:t>
      </w:r>
    </w:p>
    <w:bookmarkEnd w:id="24"/>
    <w:bookmarkStart w:id="27" w:name="return-conventions"/>
    <w:p>
      <w:pPr>
        <w:pStyle w:val="Heading2"/>
      </w:pPr>
      <w:r>
        <w:t xml:space="preserve">1. Return Conventions</w:t>
      </w:r>
    </w:p>
    <w:bookmarkStart w:id="25" w:name="return-styles"/>
    <w:p>
      <w:pPr>
        <w:pStyle w:val="Heading3"/>
      </w:pPr>
      <w:r>
        <w:t xml:space="preserve">1.1. Return Styles</w:t>
      </w:r>
    </w:p>
    <w:p>
      <w:pPr>
        <w:pStyle w:val="FirstParagraph"/>
      </w:pPr>
      <w:r>
        <w:t xml:space="preserve">BriteTest test helpers use three return styles:</w:t>
      </w:r>
    </w:p>
    <w:p>
      <w:pPr>
        <w:numPr>
          <w:ilvl w:val="0"/>
          <w:numId w:val="1002"/>
        </w:numPr>
        <w:pStyle w:val="Compact"/>
      </w:pPr>
      <w:r>
        <w:t xml:space="preserve">Structured helpers return</w:t>
      </w:r>
      <w:r>
        <w:t xml:space="preserve"> </w:t>
      </w:r>
      <w:r>
        <w:rPr>
          <w:rStyle w:val="VerbatimChar"/>
        </w:rPr>
        <w:t xml:space="preserve">RA_OK</w:t>
      </w:r>
      <w:r>
        <w:t xml:space="preserve">,</w:t>
      </w:r>
      <w:r>
        <w:t xml:space="preserve"> </w:t>
      </w:r>
      <w:r>
        <w:rPr>
          <w:rStyle w:val="VerbatimChar"/>
        </w:rPr>
        <w:t xml:space="preserve">RA_MISMATCH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RA_TIMEOUT</w:t>
      </w:r>
      <w:r>
        <w:t xml:space="preserve">, or an</w:t>
      </w:r>
      <w:r>
        <w:t xml:space="preserve"> </w:t>
      </w:r>
      <w:r>
        <w:rPr>
          <w:rStyle w:val="VerbatimChar"/>
        </w:rPr>
        <w:t xml:space="preserve">RA_E*</w:t>
      </w:r>
      <w:r>
        <w:t xml:space="preserve"> </w:t>
      </w:r>
      <w:r>
        <w:t xml:space="preserve">error code.</w:t>
      </w:r>
    </w:p>
    <w:p>
      <w:pPr>
        <w:numPr>
          <w:ilvl w:val="0"/>
          <w:numId w:val="1002"/>
        </w:numPr>
        <w:pStyle w:val="Compact"/>
      </w:pPr>
      <w:r>
        <w:t xml:space="preserve">Predicate helpers return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for true or match,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for false or no match, 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on invalid input or runtime error.</w:t>
      </w:r>
    </w:p>
    <w:p>
      <w:pPr>
        <w:numPr>
          <w:ilvl w:val="0"/>
          <w:numId w:val="1002"/>
        </w:numPr>
        <w:pStyle w:val="Compact"/>
      </w:pPr>
      <w:r>
        <w:t xml:space="preserve">Process helpers that model command completion return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for success,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for timeout, 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for invalid input or setup failure.</w:t>
      </w:r>
    </w:p>
    <w:bookmarkEnd w:id="25"/>
    <w:bookmarkStart w:id="26" w:name="assertion-guidance"/>
    <w:p>
      <w:pPr>
        <w:pStyle w:val="Heading3"/>
      </w:pPr>
      <w:r>
        <w:t xml:space="preserve">1.2. Assertion Guidance</w:t>
      </w:r>
    </w:p>
    <w:p>
      <w:pPr>
        <w:pStyle w:val="FirstParagraph"/>
      </w:pPr>
      <w:r>
        <w:t xml:space="preserve">Use the helper family to decide what to check:</w:t>
      </w:r>
    </w:p>
    <w:p>
      <w:pPr>
        <w:numPr>
          <w:ilvl w:val="0"/>
          <w:numId w:val="1003"/>
        </w:numPr>
        <w:pStyle w:val="Compact"/>
      </w:pPr>
      <w:r>
        <w:t xml:space="preserve">File, JSON, metadata, and normalized-text comparisons should usually be checked against</w:t>
      </w:r>
      <w:r>
        <w:t xml:space="preserve"> </w:t>
      </w:r>
      <w:r>
        <w:rPr>
          <w:rStyle w:val="VerbatimChar"/>
        </w:rPr>
        <w:t xml:space="preserve">RA_OK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RA_MISMATCH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Existence, string, wildcard, and regex predicates should usually be checked against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Command-execution helpers should usually be checked against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1</w:t>
      </w:r>
      <w:r>
        <w:t xml:space="preserve">.</w:t>
      </w:r>
    </w:p>
    <w:bookmarkEnd w:id="26"/>
    <w:bookmarkEnd w:id="27"/>
    <w:bookmarkStart w:id="32" w:name="comparison-option-structs"/>
    <w:p>
      <w:pPr>
        <w:pStyle w:val="Heading2"/>
      </w:pPr>
      <w:r>
        <w:t xml:space="preserve">2. Comparison Option Structs</w:t>
      </w:r>
    </w:p>
    <w:p>
      <w:pPr>
        <w:pStyle w:val="FirstParagraph"/>
      </w:pPr>
      <w:r>
        <w:t xml:space="preserve">The comparison helpers use small option structs instead of mixed boolean and flag parameter lists.</w:t>
      </w:r>
    </w:p>
    <w:bookmarkStart w:id="28" w:name="ra_path_compare_options_t"/>
    <w:p>
      <w:pPr>
        <w:pStyle w:val="Heading3"/>
      </w:pPr>
      <w:r>
        <w:t xml:space="preserve">2.1.</w:t>
      </w:r>
      <w:r>
        <w:t xml:space="preserve"> </w:t>
      </w:r>
      <w:r>
        <w:rPr>
          <w:rStyle w:val="VerbatimChar"/>
        </w:rPr>
        <w:t xml:space="preserve">ra_path_compare_options_t</w:t>
      </w:r>
    </w:p>
    <w:p>
      <w:pPr>
        <w:pStyle w:val="FirstParagraph"/>
      </w:pPr>
      <w:r>
        <w:t xml:space="preserve">Used by</w:t>
      </w:r>
      <w:r>
        <w:t xml:space="preserve"> </w:t>
      </w:r>
      <w:r>
        <w:rPr>
          <w:rStyle w:val="VerbatimChar"/>
        </w:rPr>
        <w:t xml:space="preserve">ta_compare_paths_with_options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ra_path_compare_options_t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Supported flags: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RA_FILECMP_IGNORE_TRAILING_WHITESPACE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RA_FILECMP_IGNORE_EMPTY_LINES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RA_FILECMP_IGNORE_TIMESTAMPS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RA_FILECMP_IGNORE_LINE_ENDINGS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RA_FILECMP_CASE_INSENSITIVE</w:t>
      </w:r>
    </w:p>
    <w:p>
      <w:pPr>
        <w:pStyle w:val="FirstParagraph"/>
      </w:pPr>
      <w:r>
        <w:t xml:space="preserve">Default initializer:</w:t>
      </w:r>
    </w:p>
    <w:p>
      <w:pPr>
        <w:pStyle w:val="SourceCode"/>
      </w:pPr>
      <w:r>
        <w:rPr>
          <w:rStyle w:val="PreprocessorTok"/>
        </w:rPr>
        <w:t xml:space="preserve">#define RA_PATH_COMPARE_OPTIONS_INIT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</w:t>
      </w:r>
    </w:p>
    <w:bookmarkEnd w:id="28"/>
    <w:bookmarkStart w:id="29" w:name="ra_path_metadata_compare_options_t"/>
    <w:p>
      <w:pPr>
        <w:pStyle w:val="Heading3"/>
      </w:pPr>
      <w:r>
        <w:t xml:space="preserve">2.2.</w:t>
      </w:r>
      <w:r>
        <w:t xml:space="preserve"> </w:t>
      </w:r>
      <w:r>
        <w:rPr>
          <w:rStyle w:val="VerbatimChar"/>
        </w:rPr>
        <w:t xml:space="preserve">ra_path_metadata_compare_options_t</w:t>
      </w:r>
    </w:p>
    <w:p>
      <w:pPr>
        <w:pStyle w:val="FirstParagraph"/>
      </w:pPr>
      <w:r>
        <w:t xml:space="preserve">Used by</w:t>
      </w:r>
      <w:r>
        <w:t xml:space="preserve"> </w:t>
      </w:r>
      <w:r>
        <w:rPr>
          <w:rStyle w:val="VerbatimChar"/>
        </w:rPr>
        <w:t xml:space="preserve">ta_compare_path_metadata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ra_path_metadata_compare_options_t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Supported flags: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RA_STATCMP_SIZE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RA_STATCMP_PERMS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RA_STATCMP_MTIME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RA_STATCMP_OWNER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RA_STATCMP_TYPE</w:t>
      </w:r>
    </w:p>
    <w:p>
      <w:pPr>
        <w:pStyle w:val="FirstParagraph"/>
      </w:pPr>
      <w:r>
        <w:t xml:space="preserve">Default initializer:</w:t>
      </w:r>
    </w:p>
    <w:p>
      <w:pPr>
        <w:pStyle w:val="SourceCode"/>
      </w:pPr>
      <w:r>
        <w:rPr>
          <w:rStyle w:val="PreprocessorTok"/>
        </w:rPr>
        <w:t xml:space="preserve">#define RA_PATH_METADATA_COMPARE_OPTIONS_INIT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Passing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or the default initializer uses the common default metadata set: size, permissions, and type.</w:t>
      </w:r>
    </w:p>
    <w:bookmarkEnd w:id="29"/>
    <w:bookmarkStart w:id="30" w:name="ra_json_compare_options_t"/>
    <w:p>
      <w:pPr>
        <w:pStyle w:val="Heading3"/>
      </w:pPr>
      <w:r>
        <w:t xml:space="preserve">2.3.</w:t>
      </w:r>
      <w:r>
        <w:t xml:space="preserve"> </w:t>
      </w:r>
      <w:r>
        <w:rPr>
          <w:rStyle w:val="VerbatimChar"/>
        </w:rPr>
        <w:t xml:space="preserve">ra_json_compare_options_t</w:t>
      </w:r>
    </w:p>
    <w:p>
      <w:pPr>
        <w:pStyle w:val="FirstParagraph"/>
      </w:pPr>
      <w:r>
        <w:t xml:space="preserve">Used by</w:t>
      </w:r>
      <w:r>
        <w:t xml:space="preserve"> </w:t>
      </w:r>
      <w:r>
        <w:rPr>
          <w:rStyle w:val="VerbatimChar"/>
        </w:rPr>
        <w:t xml:space="preserve">ta_compare_json_with_limit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max_bytes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ignore_key_order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ra_json_compare_options_t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Default initializer:</w:t>
      </w:r>
    </w:p>
    <w:p>
      <w:pPr>
        <w:pStyle w:val="SourceCode"/>
      </w:pPr>
      <w:r>
        <w:rPr>
          <w:rStyle w:val="PreprocessorTok"/>
        </w:rPr>
        <w:t xml:space="preserve">#define RA_JSON_COMPARE_OPTIONS_INIT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ignore_key_order</w:t>
      </w:r>
      <w:r>
        <w:t xml:space="preserve"> </w:t>
      </w:r>
      <w:r>
        <w:t xml:space="preserve">when semantic JSON equality matters more than source ordering. Use</w:t>
      </w:r>
      <w:r>
        <w:t xml:space="preserve"> </w:t>
      </w:r>
      <w:r>
        <w:rPr>
          <w:rStyle w:val="VerbatimChar"/>
        </w:rPr>
        <w:t xml:space="preserve">max_bytes</w:t>
      </w:r>
      <w:r>
        <w:t xml:space="preserve"> </w:t>
      </w:r>
      <w:r>
        <w:t xml:space="preserve">when the caller wants a tighter bound than the implementation default.</w:t>
      </w:r>
    </w:p>
    <w:bookmarkEnd w:id="30"/>
    <w:bookmarkStart w:id="31" w:name="ra_text_compare_options_t"/>
    <w:p>
      <w:pPr>
        <w:pStyle w:val="Heading3"/>
      </w:pPr>
      <w:r>
        <w:t xml:space="preserve">2.4.</w:t>
      </w:r>
      <w:r>
        <w:t xml:space="preserve"> </w:t>
      </w:r>
      <w:r>
        <w:rPr>
          <w:rStyle w:val="VerbatimChar"/>
        </w:rPr>
        <w:t xml:space="preserve">ra_text_compare_options_t</w:t>
      </w:r>
    </w:p>
    <w:p>
      <w:pPr>
        <w:pStyle w:val="FirstParagraph"/>
      </w:pPr>
      <w:r>
        <w:t xml:space="preserve">Used by</w:t>
      </w:r>
      <w:r>
        <w:t xml:space="preserve"> </w:t>
      </w:r>
      <w:r>
        <w:rPr>
          <w:rStyle w:val="VerbatimChar"/>
        </w:rPr>
        <w:t xml:space="preserve">ta_compare_text_normalized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ignore_whitespace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ignore_line_endings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ra_text_compare_options_t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Default initializer:</w:t>
      </w:r>
    </w:p>
    <w:p>
      <w:pPr>
        <w:pStyle w:val="SourceCode"/>
      </w:pPr>
      <w:r>
        <w:rPr>
          <w:rStyle w:val="PreprocessorTok"/>
        </w:rPr>
        <w:t xml:space="preserve">#define RA_TEXT_COMPARE_OPTIONS_INIT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</w:t>
      </w:r>
    </w:p>
    <w:bookmarkEnd w:id="31"/>
    <w:bookmarkEnd w:id="32"/>
    <w:bookmarkStart w:id="37" w:name="common-usage-patterns"/>
    <w:p>
      <w:pPr>
        <w:pStyle w:val="Heading2"/>
      </w:pPr>
      <w:r>
        <w:t xml:space="preserve">3. Common Usage Patterns</w:t>
      </w:r>
    </w:p>
    <w:bookmarkStart w:id="33" w:name="X3087a37b5b39fa729df18a11e1648db09a7f9c5"/>
    <w:p>
      <w:pPr>
        <w:pStyle w:val="Heading3"/>
      </w:pPr>
      <w:r>
        <w:t xml:space="preserve">3.1. Compare Two Paths While Ignoring Timestamps</w:t>
      </w:r>
    </w:p>
    <w:p>
      <w:pPr>
        <w:pStyle w:val="SourceCode"/>
      </w:pPr>
      <w:r>
        <w:rPr>
          <w:rStyle w:val="DataTypeTok"/>
        </w:rPr>
        <w:t xml:space="preserve">const</w:t>
      </w:r>
      <w:r>
        <w:rPr>
          <w:rStyle w:val="NormalTok"/>
        </w:rPr>
        <w:t xml:space="preserve"> ra_path_compare_options_t options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RA_FILECMP_IGNORE_TIMESTAMPS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RA_ASSERT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ta_compare_paths_with_options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expected_path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actual_path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RA_OK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bookmarkEnd w:id="33"/>
    <w:bookmarkStart w:id="34" w:name="Xcf58c92971a2c370955368bb392a8f4f852dedc"/>
    <w:p>
      <w:pPr>
        <w:pStyle w:val="Heading3"/>
      </w:pPr>
      <w:r>
        <w:t xml:space="preserve">3.2. Compare Path Metadata Including Modification Time</w:t>
      </w:r>
    </w:p>
    <w:p>
      <w:pPr>
        <w:pStyle w:val="SourceCode"/>
      </w:pPr>
      <w:r>
        <w:rPr>
          <w:rStyle w:val="DataTypeTok"/>
        </w:rPr>
        <w:t xml:space="preserve">const</w:t>
      </w:r>
      <w:r>
        <w:rPr>
          <w:rStyle w:val="NormalTok"/>
        </w:rPr>
        <w:t xml:space="preserve"> ra_path_metadata_compare_options_t options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RA_STATCMP_SIZE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RA_STATCMP_PERMS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RA_STATCMP_TYPE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RA_STATCMP_MTIME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RA_ASSERT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ta_compare_path_metadata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right_path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RA_OK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bookmarkEnd w:id="34"/>
    <w:bookmarkStart w:id="35" w:name="Xc27539a4150ac3ccd6ea846441c093ec1c68fcc"/>
    <w:p>
      <w:pPr>
        <w:pStyle w:val="Heading3"/>
      </w:pPr>
      <w:r>
        <w:t xml:space="preserve">3.3. Compare JSON While Ignoring Object Key Order</w:t>
      </w:r>
    </w:p>
    <w:p>
      <w:pPr>
        <w:pStyle w:val="SourceCode"/>
      </w:pPr>
      <w:r>
        <w:rPr>
          <w:rStyle w:val="DataTypeTok"/>
        </w:rPr>
        <w:t xml:space="preserve">const</w:t>
      </w:r>
      <w:r>
        <w:rPr>
          <w:rStyle w:val="NormalTok"/>
        </w:rPr>
        <w:t xml:space="preserve"> ra_json_compare_options_t options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1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RA_ASSERT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ta_compare_json_with_limit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expected_json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actual_json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RA_OK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bookmarkEnd w:id="35"/>
    <w:bookmarkStart w:id="36" w:name="X19f5cd1bd4e3b1d020c68da3993f923a4a722c6"/>
    <w:p>
      <w:pPr>
        <w:pStyle w:val="Heading3"/>
      </w:pPr>
      <w:r>
        <w:t xml:space="preserve">3.4. Compare Text While Ignoring Whitespace and Line Endings</w:t>
      </w:r>
    </w:p>
    <w:p>
      <w:pPr>
        <w:pStyle w:val="SourceCode"/>
      </w:pPr>
      <w:r>
        <w:rPr>
          <w:rStyle w:val="DataTypeTok"/>
        </w:rPr>
        <w:t xml:space="preserve">const</w:t>
      </w:r>
      <w:r>
        <w:rPr>
          <w:rStyle w:val="NormalTok"/>
        </w:rPr>
        <w:t xml:space="preserve"> ra_text_compare_options_t options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1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RA_ASSERT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ta_compare_text_normalized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left_text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right_text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RA_OK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bookmarkEnd w:id="36"/>
    <w:bookmarkEnd w:id="37"/>
    <w:bookmarkStart w:id="38" w:name="convenience-forms"/>
    <w:p>
      <w:pPr>
        <w:pStyle w:val="Heading2"/>
      </w:pPr>
      <w:r>
        <w:t xml:space="preserve">4. Convenience Forms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ta_compare_paths</w:t>
      </w:r>
      <w:r>
        <w:t xml:space="preserve"> </w:t>
      </w:r>
      <w:r>
        <w:t xml:space="preserve">performs a byte-for-byte path comparison.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ta_compare_json</w:t>
      </w:r>
      <w:r>
        <w:t xml:space="preserve"> </w:t>
      </w:r>
      <w:r>
        <w:t xml:space="preserve">performs a strict JSON comparison using default limits.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ta_compare_file_lines</w:t>
      </w:r>
      <w:r>
        <w:t xml:space="preserve"> </w:t>
      </w:r>
      <w:r>
        <w:t xml:space="preserve">compares files line-by-line and returns</w:t>
      </w:r>
      <w:r>
        <w:t xml:space="preserve"> </w:t>
      </w:r>
      <w:r>
        <w:rPr>
          <w:rStyle w:val="VerbatimChar"/>
        </w:rPr>
        <w:t xml:space="preserve">RA_OK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RA_MISMATCH</w:t>
      </w:r>
      <w:r>
        <w:t xml:space="preserve">.</w:t>
      </w:r>
    </w:p>
    <w:p>
      <w:pPr>
        <w:pStyle w:val="FirstParagraph"/>
      </w:pPr>
      <w:r>
        <w:t xml:space="preserve">For the full declaration list and per-function comments, see</w:t>
      </w:r>
      <w:r>
        <w:t xml:space="preserve"> </w:t>
      </w:r>
      <w:r>
        <w:rPr>
          <w:rStyle w:val="VerbatimChar"/>
        </w:rPr>
        <w:t xml:space="preserve">include/testapi.h</w:t>
      </w:r>
      <w:r>
        <w:t xml:space="preserve">.</w:t>
      </w:r>
    </w:p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Test_Reference</dc:title>
  <dc:creator/>
  <cp:keywords/>
  <dcterms:created xsi:type="dcterms:W3CDTF">2026-07-02T04:47:14Z</dcterms:created>
  <dcterms:modified xsi:type="dcterms:W3CDTF">2026-07-02T04:47:14Z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