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Runner_Internal_Guide</w:t>
      </w:r>
    </w:p>
    <w:p>
      <w:pPr>
        <w:pStyle w:val="FirstParagraph"/>
      </w:pPr>
      <w:r>
        <w:t xml:space="preserve">This guide documents the internal architecture and design of the Runner Famework</w:t>
      </w:r>
      <w:r>
        <w:t xml:space="preserve"> </w:t>
      </w:r>
      <w:r>
        <w:t xml:space="preserve">and API. It complements the Runner Internal Reference.</w:t>
      </w:r>
    </w:p>
    <w:bookmarkStart w:id="20" w:name="copyright-c-2026-paul-sinclair"/>
    <w:p>
      <w:pPr>
        <w:pStyle w:val="Heading4"/>
      </w:pPr>
      <w:r>
        <w:t xml:space="preserve">Copyright (c) 2026 Paul Sinclair</w:t>
      </w:r>
    </w:p>
    <w:bookmarkEnd w:id="20"/>
    <w:bookmarkStart w:id="21" w:name="license"/>
    <w:p>
      <w:pPr>
        <w:pStyle w:val="Heading3"/>
      </w:pPr>
      <w:r>
        <w:t xml:space="preserve">License</w:t>
      </w:r>
    </w:p>
    <w:p>
      <w:pPr>
        <w:pStyle w:val="FirstParagraph"/>
      </w:pPr>
      <w:r>
        <w:t xml:space="preserve">SPDX-License-Identifier: MIT</w:t>
      </w:r>
    </w:p>
    <w:p>
      <w:pPr>
        <w:pStyle w:val="BodyText"/>
      </w:pPr>
      <w:r>
        <w:t xml:space="preserve">Permission is hereby granted, free of charge, to any person obtaining a copy</w:t>
      </w:r>
      <w:r>
        <w:t xml:space="preserve"> </w:t>
      </w:r>
      <w:r>
        <w:t xml:space="preserve">of this software and associated documentation files (the</w:t>
      </w:r>
      <w:r>
        <w:t xml:space="preserve"> </w:t>
      </w:r>
      <w:r>
        <w:t xml:space="preserve">“</w:t>
      </w:r>
      <w:r>
        <w:t xml:space="preserve">Software</w:t>
      </w:r>
      <w:r>
        <w:t xml:space="preserve">”</w:t>
      </w:r>
      <w:r>
        <w:t xml:space="preserve">), to deal</w:t>
      </w:r>
      <w:r>
        <w:t xml:space="preserve"> </w:t>
      </w:r>
      <w:r>
        <w:t xml:space="preserve">in the Software without restriction, including without limitation the rights</w:t>
      </w:r>
      <w:r>
        <w:t xml:space="preserve"> </w:t>
      </w:r>
      <w:r>
        <w:t xml:space="preserve">to use, copy, modify, merge, publish, distribute, sublicense, and/or sell</w:t>
      </w:r>
      <w:r>
        <w:t xml:space="preserve"> </w:t>
      </w:r>
      <w:r>
        <w:t xml:space="preserve">copies of the Software, and to permit persons to whom the Software is</w:t>
      </w:r>
      <w:r>
        <w:t xml:space="preserve"> </w:t>
      </w:r>
      <w:r>
        <w:t xml:space="preserve">furnished to do so, subject to the following conditions:</w:t>
      </w:r>
    </w:p>
    <w:p>
      <w:pPr>
        <w:pStyle w:val="BodyText"/>
      </w:pPr>
      <w:r>
        <w:t xml:space="preserve">The above copyright notice and this permission notice shall be included in all</w:t>
      </w:r>
      <w:r>
        <w:t xml:space="preserve"> </w:t>
      </w:r>
      <w:r>
        <w:t xml:space="preserve">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</w:t>
      </w:r>
      <w:r>
        <w:t xml:space="preserve">AS IS</w:t>
      </w:r>
      <w:r>
        <w:t xml:space="preserve">”</w:t>
      </w:r>
      <w:r>
        <w:t xml:space="preserve">, WITHOUT WARRANTY OF ANY KIND, EXPRESS OR</w:t>
      </w:r>
      <w:r>
        <w:t xml:space="preserve"> </w:t>
      </w:r>
      <w:r>
        <w:t xml:space="preserve">IMPLIED, INCLUDING BUT NOT LIMITED TO THE WARRANTIES OF MERCHANTABILITY,</w:t>
      </w:r>
      <w:r>
        <w:t xml:space="preserve"> </w:t>
      </w:r>
      <w:r>
        <w:t xml:space="preserve">FITNESS FOR A PARTICULAR PURPOSE AND NONINFRINGEMENT. IN NO EVENT SHALL THE</w:t>
      </w:r>
      <w:r>
        <w:t xml:space="preserve"> </w:t>
      </w:r>
      <w:r>
        <w:t xml:space="preserve">AUTHORS OR COPYRIGHT HOLDERS BE LIABLE FOR ANY CLAIM, DAMAGES OR OTHER</w:t>
      </w:r>
      <w:r>
        <w:t xml:space="preserve"> </w:t>
      </w:r>
      <w:r>
        <w:t xml:space="preserve">LIABILITY, WHETHER IN AN ACTION OF CONTRACT, TORT OR OTHERWISE, ARISING FROM,</w:t>
      </w:r>
      <w:r>
        <w:t xml:space="preserve"> </w:t>
      </w:r>
      <w:r>
        <w:t xml:space="preserve">OUT OF OR IN CONNECTION WITH THE SOFTWARE OR THE USE OR OTHER DEALINGS IN THE</w:t>
      </w:r>
      <w:r>
        <w:t xml:space="preserve"> </w:t>
      </w:r>
      <w:r>
        <w:t xml:space="preserve">SOFTWARE.</w:t>
      </w:r>
    </w:p>
    <w:bookmarkEnd w:id="21"/>
    <w:bookmarkStart w:id="23" w:name="preface"/>
    <w:p>
      <w:pPr>
        <w:pStyle w:val="Heading2"/>
      </w:pPr>
      <w:r>
        <w:t xml:space="preserve">Preface</w:t>
      </w:r>
    </w:p>
    <w:p>
      <w:pPr>
        <w:pStyle w:val="FirstParagraph"/>
      </w:pPr>
      <w:r>
        <w:t xml:space="preserve">This document is intended for contributors who need guidance for the</w:t>
      </w:r>
      <w:r>
        <w:t xml:space="preserve"> </w:t>
      </w:r>
      <w:r>
        <w:t xml:space="preserve">internals of the Runner Framework and API.</w:t>
      </w:r>
    </w:p>
    <w:p>
      <w:pPr>
        <w:pStyle w:val="BodyText"/>
      </w:pPr>
      <w:r>
        <w:t xml:space="preserve">For a list of other documents and the repository layout, see</w:t>
      </w:r>
      <w:r>
        <w:t xml:space="preserve"> </w:t>
      </w:r>
      <w:r>
        <w:t xml:space="preserve">the Documentation Guide (</w:t>
      </w:r>
      <w:r>
        <w:rPr>
          <w:rStyle w:val="VerbatimChar"/>
        </w:rPr>
        <w:t xml:space="preserve">Documentation_Guide.md</w:t>
      </w:r>
      <w:r>
        <w:t xml:space="preserve">).</w:t>
      </w:r>
    </w:p>
    <w:p>
      <w:pPr>
        <w:pStyle w:val="BodyText"/>
      </w:pPr>
      <w:r>
        <w:t xml:space="preserve">For a glossary of terms, see the Glossary 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Glossary_Reference.md</w:t>
      </w:r>
      <w:r>
        <w:t xml:space="preserve">).</w:t>
      </w:r>
    </w:p>
    <w:p>
      <w:pPr>
        <w:pStyle w:val="BodyText"/>
      </w:pPr>
      <w:r>
        <w:t xml:space="preserve">A printer-friendly PDF file for this document is available in</w:t>
      </w:r>
      <w:r>
        <w:t xml:space="preserve"> </w:t>
      </w:r>
      <w:r>
        <w:rPr>
          <w:rStyle w:val="VerbatimChar"/>
        </w:rPr>
        <w:t xml:space="preserve">docs/pdf/</w:t>
      </w:r>
      <w:r>
        <w:t xml:space="preserve">.</w:t>
      </w:r>
    </w:p>
    <w:bookmarkStart w:id="22" w:name="document-version-history"/>
    <w:p>
      <w:pPr>
        <w:pStyle w:val="Heading3"/>
      </w:pPr>
      <w:r>
        <w:t xml:space="preserve">Document 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880"/>
        <w:gridCol w:w="1173"/>
        <w:gridCol w:w="88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Author/Editor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version.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 Sinclair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</w:t>
      </w:r>
      <w:r>
        <w:t xml:space="preserve"> </w:t>
      </w:r>
      <w:r>
        <w:t xml:space="preserve">column records the document’s version.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Runner</w:t>
      </w:r>
      <w:r>
        <w:t xml:space="preserve"> </w:t>
      </w:r>
      <w:r>
        <w:t xml:space="preserve">column records the Runner API version</w:t>
      </w:r>
      <w:r>
        <w:t xml:space="preserve"> </w:t>
      </w:r>
      <w:r>
        <w:t xml:space="preserve">current at the time this version of the document was published.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column records the Test API version current at</w:t>
      </w:r>
      <w:r>
        <w:t xml:space="preserve"> </w:t>
      </w:r>
      <w:r>
        <w:t xml:space="preserve">the time this version of the document was published.</w:t>
      </w:r>
    </w:p>
    <w:p>
      <w:pPr>
        <w:pStyle w:val="FirstParagraph"/>
      </w:pPr>
      <w:r>
        <w:t xml:space="preserve">A version has the format</w:t>
      </w:r>
      <w:r>
        <w:t xml:space="preserve"> </w:t>
      </w:r>
      <w:r>
        <w:rPr>
          <w:rStyle w:val="VerbatimChar"/>
        </w:rPr>
        <w:t xml:space="preserve">M.m.p</w:t>
      </w:r>
      <w:r>
        <w:t xml:space="preserve"> </w:t>
      </w:r>
      <w:r>
        <w:t xml:space="preserve">(Major, minor, patch) where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</w:t>
      </w:r>
      <w:r>
        <w:t xml:space="preserve"> </w:t>
      </w:r>
      <w:r>
        <w:t xml:space="preserve">major version,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 minor version,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the patch version.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increments when the document is updated without a change to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and resets to 0 when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increases. The first table entry is the most</w:t>
      </w:r>
      <w:r>
        <w:t xml:space="preserve"> </w:t>
      </w:r>
      <w:r>
        <w:t xml:space="preserve">recent version for this document at the time this document was published.</w:t>
      </w:r>
    </w:p>
    <w:p>
      <w:pPr>
        <w:pStyle w:val="BodyText"/>
      </w:pPr>
    </w:p>
    <w:bookmarkEnd w:id="22"/>
    <w:bookmarkEnd w:id="23"/>
    <w:bookmarkStart w:id="24" w:name="table-of-contents"/>
    <w:p>
      <w:pPr>
        <w:pStyle w:val="Heading2"/>
      </w:pPr>
      <w:r>
        <w:t xml:space="preserve">Table of Contents</w:t>
      </w:r>
    </w:p>
    <w:bookmarkEnd w:id="24"/>
    <w:bookmarkStart w:id="26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Basic concepts and high-level description of the framework internals and design goals.</w:t>
      </w:r>
    </w:p>
    <w:p>
      <w:pPr>
        <w:pStyle w:val="BodyText"/>
      </w:pPr>
      <w:r>
        <w:t xml:space="preserve">In this document, a</w:t>
      </w:r>
      <w:r>
        <w:t xml:space="preserve"> </w:t>
      </w:r>
      <w:r>
        <w:rPr>
          <w:iCs/>
          <w:i/>
        </w:rPr>
        <w:t xml:space="preserve">symbol</w:t>
      </w:r>
      <w:r>
        <w:t xml:space="preserve"> </w:t>
      </w:r>
      <w:r>
        <w:t xml:space="preserve">refers to any named entity in the framework, including:</w:t>
      </w:r>
    </w:p>
    <w:p>
      <w:pPr>
        <w:numPr>
          <w:ilvl w:val="0"/>
          <w:numId w:val="1002"/>
        </w:numPr>
        <w:pStyle w:val="Compact"/>
      </w:pPr>
      <w:r>
        <w:t xml:space="preserve">typedefs</w:t>
      </w:r>
    </w:p>
    <w:p>
      <w:pPr>
        <w:numPr>
          <w:ilvl w:val="0"/>
          <w:numId w:val="1002"/>
        </w:numPr>
        <w:pStyle w:val="Compact"/>
      </w:pPr>
      <w:r>
        <w:t xml:space="preserve">structs</w:t>
      </w:r>
    </w:p>
    <w:p>
      <w:pPr>
        <w:numPr>
          <w:ilvl w:val="0"/>
          <w:numId w:val="1002"/>
        </w:numPr>
        <w:pStyle w:val="Compact"/>
      </w:pPr>
      <w:r>
        <w:t xml:space="preserve">enums and enum values</w:t>
      </w:r>
    </w:p>
    <w:p>
      <w:pPr>
        <w:numPr>
          <w:ilvl w:val="0"/>
          <w:numId w:val="1002"/>
        </w:numPr>
        <w:pStyle w:val="Compact"/>
      </w:pPr>
      <w:r>
        <w:t xml:space="preserve">macros</w:t>
      </w:r>
    </w:p>
    <w:p>
      <w:pPr>
        <w:numPr>
          <w:ilvl w:val="0"/>
          <w:numId w:val="1002"/>
        </w:numPr>
        <w:pStyle w:val="Compact"/>
      </w:pPr>
      <w:r>
        <w:t xml:space="preserve">variables</w:t>
      </w:r>
    </w:p>
    <w:p>
      <w:pPr>
        <w:numPr>
          <w:ilvl w:val="0"/>
          <w:numId w:val="1002"/>
        </w:numPr>
        <w:pStyle w:val="Compact"/>
      </w:pPr>
      <w:r>
        <w:t xml:space="preserve">functions</w:t>
      </w:r>
    </w:p>
    <w:p>
      <w:pPr>
        <w:pStyle w:val="FirstParagraph"/>
      </w:pPr>
      <w:r>
        <w:t xml:space="preserve">Some internal symbols in</w:t>
      </w:r>
      <w:r>
        <w:t xml:space="preserve"> </w:t>
      </w:r>
      <w:r>
        <w:rPr>
          <w:rStyle w:val="VerbatimChar"/>
        </w:rPr>
        <w:t xml:space="preserve">runnerapi.h</w:t>
      </w:r>
      <w:r>
        <w:t xml:space="preserve"> </w:t>
      </w:r>
      <w:r>
        <w:t xml:space="preserve">are exposed because the API</w:t>
      </w:r>
      <w:r>
        <w:t xml:space="preserve"> </w:t>
      </w:r>
      <w:r>
        <w:t xml:space="preserve">macros expand into code that depends on internal types and helper functions.</w:t>
      </w:r>
      <w:r>
        <w:t xml:space="preserve"> </w:t>
      </w:r>
      <w:r>
        <w:t xml:space="preserve">These symbols must be visible to user code for the macros to compile correctly,</w:t>
      </w:r>
      <w:r>
        <w:t xml:space="preserve"> </w:t>
      </w:r>
      <w:r>
        <w:t xml:space="preserve">but they are not part of the public API and should not be used directly.</w:t>
      </w:r>
    </w:p>
    <w:p>
      <w:pPr>
        <w:pStyle w:val="BodyText"/>
      </w:pPr>
      <w:r>
        <w:t xml:space="preserve">Their presence in the header reflects C implementation requirements, not intended</w:t>
      </w:r>
      <w:r>
        <w:t xml:space="preserve"> </w:t>
      </w:r>
      <w:r>
        <w:t xml:space="preserve">usage. Contributors may modify these symbols as needed, provided the public API</w:t>
      </w:r>
      <w:r>
        <w:t xml:space="preserve"> </w:t>
      </w:r>
      <w:r>
        <w:t xml:space="preserve">contract remains intact.</w:t>
      </w:r>
    </w:p>
    <w:bookmarkStart w:id="25" w:name="public-and-internal-naming-conventions"/>
    <w:p>
      <w:pPr>
        <w:pStyle w:val="Heading3"/>
      </w:pPr>
      <w:r>
        <w:t xml:space="preserve">1.1. Public and Internal Naming Conventions</w:t>
      </w:r>
    </w:p>
    <w:p>
      <w:pPr>
        <w:pStyle w:val="FirstParagraph"/>
      </w:pPr>
      <w:r>
        <w:t xml:space="preserve">Any Runner API names that are public and visible to Runner API users are prefixed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ra_...</w:t>
      </w:r>
      <w:r>
        <w:t xml:space="preserve"> </w:t>
      </w:r>
      <w:r>
        <w:t xml:space="preserve">(typically lowercase) or</w:t>
      </w:r>
      <w:r>
        <w:t xml:space="preserve"> </w:t>
      </w:r>
      <w:r>
        <w:rPr>
          <w:rStyle w:val="VerbatimChar"/>
        </w:rPr>
        <w:t xml:space="preserve">RA_...</w:t>
      </w:r>
      <w:r>
        <w:t xml:space="preserve"> </w:t>
      </w:r>
      <w:r>
        <w:t xml:space="preserve">(typically uppercase).</w:t>
      </w:r>
    </w:p>
    <w:p>
      <w:pPr>
        <w:pStyle w:val="BodyText"/>
      </w:pPr>
      <w:r>
        <w:t xml:space="preserve">Any framework names that are internal (but technically visible to Bunner API users)</w:t>
      </w:r>
      <w:r>
        <w:t xml:space="preserve"> </w:t>
      </w:r>
      <w:r>
        <w:t xml:space="preserve">have the prefix</w:t>
      </w:r>
      <w:r>
        <w:t xml:space="preserve"> </w:t>
      </w:r>
      <w:r>
        <w:rPr>
          <w:rStyle w:val="VerbatimChar"/>
        </w:rPr>
        <w:t xml:space="preserve">ra_internal_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RA_INTERNAL_</w:t>
      </w:r>
      <w:r>
        <w:t xml:space="preserve">. These names should not be referenced</w:t>
      </w:r>
      <w:r>
        <w:t xml:space="preserve"> </w:t>
      </w:r>
      <w:r>
        <w:t xml:space="preserve">by Runner API users.</w:t>
      </w:r>
    </w:p>
    <w:p>
      <w:pPr>
        <w:pStyle w:val="BodyText"/>
      </w:pPr>
      <w:r>
        <w:t xml:space="preserve">In general, users of the API should not define names prefixed with</w:t>
      </w:r>
      <w:r>
        <w:t xml:space="preserve"> </w:t>
      </w:r>
      <w:r>
        <w:rPr>
          <w:rStyle w:val="VerbatimChar"/>
        </w:rPr>
        <w:t xml:space="preserve">ra_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RA_</w:t>
      </w:r>
      <w:r>
        <w:t xml:space="preserve">,</w:t>
      </w:r>
      <w:r>
        <w:t xml:space="preserve"> </w:t>
      </w:r>
      <w:r>
        <w:rPr>
          <w:rStyle w:val="VerbatimChar"/>
        </w:rPr>
        <w:t xml:space="preserve">, or reference names prefixed with</w:t>
      </w:r>
      <w:r>
        <w:t xml:space="preserve">ra_internal_</w:t>
      </w:r>
      <w:r>
        <w:rPr>
          <w:rStyle w:val="VerbatimChar"/>
        </w:rPr>
        <w:t xml:space="preserve">or</w:t>
      </w:r>
      <w:r>
        <w:t xml:space="preserve">RA_INTERNAL_`.</w:t>
      </w:r>
    </w:p>
    <w:p>
      <w:pPr>
        <w:pStyle w:val="BodyText"/>
      </w:pPr>
    </w:p>
    <w:bookmarkEnd w:id="25"/>
    <w:bookmarkEnd w:id="26"/>
    <w:bookmarkStart w:id="27" w:name="architecture-overview"/>
    <w:p>
      <w:pPr>
        <w:pStyle w:val="Heading2"/>
      </w:pPr>
      <w:r>
        <w:t xml:space="preserve">2. Architecture Overview</w:t>
      </w:r>
    </w:p>
    <w:p>
      <w:pPr>
        <w:numPr>
          <w:ilvl w:val="0"/>
          <w:numId w:val="1003"/>
        </w:numPr>
        <w:pStyle w:val="Compact"/>
      </w:pPr>
      <w:r>
        <w:t xml:space="preserve">Process model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Thread model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Signal handling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Fault detection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Execution flow</w:t>
      </w:r>
    </w:p>
    <w:bookmarkEnd w:id="27"/>
    <w:bookmarkStart w:id="28" w:name="orchestrator-internals"/>
    <w:p>
      <w:pPr>
        <w:pStyle w:val="Heading2"/>
      </w:pPr>
      <w:r>
        <w:t xml:space="preserve">3. Orchestrator Internals</w:t>
      </w:r>
    </w:p>
    <w:p>
      <w:pPr>
        <w:numPr>
          <w:ilvl w:val="0"/>
          <w:numId w:val="1004"/>
        </w:numPr>
        <w:pStyle w:val="Compact"/>
      </w:pPr>
      <w:r>
        <w:t xml:space="preserve">Initialization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Argument parsing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Report lifecycle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Category aggregation</w:t>
      </w:r>
    </w:p>
    <w:bookmarkEnd w:id="28"/>
    <w:bookmarkStart w:id="29" w:name="test-group-internals"/>
    <w:p>
      <w:pPr>
        <w:pStyle w:val="Heading2"/>
      </w:pPr>
      <w:r>
        <w:t xml:space="preserve">4. Test Group Internals</w:t>
      </w:r>
    </w:p>
    <w:p>
      <w:pPr>
        <w:numPr>
          <w:ilvl w:val="0"/>
          <w:numId w:val="1005"/>
        </w:numPr>
        <w:pStyle w:val="Compact"/>
      </w:pPr>
      <w:r>
        <w:t xml:space="preserve">Group initialization</w:t>
      </w:r>
    </w:p>
    <w:p>
      <w:pPr>
        <w:numPr>
          <w:ilvl w:val="0"/>
          <w:numId w:val="1005"/>
        </w:numPr>
        <w:pStyle w:val="Compact"/>
      </w:pPr>
      <w:r>
        <w:t xml:space="preserve">Execution scheduling</w:t>
      </w:r>
    </w:p>
    <w:p>
      <w:pPr>
        <w:numPr>
          <w:ilvl w:val="0"/>
          <w:numId w:val="1005"/>
        </w:numPr>
        <w:pStyle w:val="Compact"/>
      </w:pPr>
      <w:r>
        <w:t xml:space="preserve">Result accumulation</w:t>
      </w:r>
    </w:p>
    <w:bookmarkEnd w:id="29"/>
    <w:bookmarkStart w:id="30" w:name="test-execution-engine"/>
    <w:p>
      <w:pPr>
        <w:pStyle w:val="Heading2"/>
      </w:pPr>
      <w:r>
        <w:t xml:space="preserve">5. Test Execution Engine</w:t>
      </w:r>
    </w:p>
    <w:p>
      <w:pPr>
        <w:numPr>
          <w:ilvl w:val="0"/>
          <w:numId w:val="1006"/>
        </w:numPr>
        <w:pStyle w:val="Compact"/>
      </w:pPr>
      <w:r>
        <w:t xml:space="preserve">Expression evaluation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Isolation modes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Concurrency model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Error and fault propagation</w:t>
      </w:r>
    </w:p>
    <w:bookmarkEnd w:id="30"/>
    <w:bookmarkStart w:id="31" w:name="process-isolated-execution"/>
    <w:p>
      <w:pPr>
        <w:pStyle w:val="Heading2"/>
      </w:pPr>
      <w:r>
        <w:t xml:space="preserve">6. Process-Isolated Execution</w:t>
      </w:r>
    </w:p>
    <w:p>
      <w:pPr>
        <w:numPr>
          <w:ilvl w:val="0"/>
          <w:numId w:val="1007"/>
        </w:numPr>
        <w:pStyle w:val="Compact"/>
      </w:pPr>
      <w:r>
        <w:t xml:space="preserve">Child process creation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Monitoring and timeouts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Exit code interpretation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Fault mapping</w:t>
      </w:r>
    </w:p>
    <w:bookmarkEnd w:id="31"/>
    <w:bookmarkStart w:id="32" w:name="thread-isolated-execution"/>
    <w:p>
      <w:pPr>
        <w:pStyle w:val="Heading2"/>
      </w:pPr>
      <w:r>
        <w:t xml:space="preserve">7. Thread-Isolated Execution</w:t>
      </w:r>
    </w:p>
    <w:p>
      <w:pPr>
        <w:numPr>
          <w:ilvl w:val="0"/>
          <w:numId w:val="1008"/>
        </w:numPr>
        <w:pStyle w:val="Compact"/>
      </w:pPr>
      <w:r>
        <w:t xml:space="preserve">Thread creation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Synchronization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Fault boundaries</w:t>
      </w:r>
    </w:p>
    <w:bookmarkEnd w:id="32"/>
    <w:bookmarkStart w:id="33" w:name="signal-guard-system"/>
    <w:p>
      <w:pPr>
        <w:pStyle w:val="Heading2"/>
      </w:pPr>
      <w:r>
        <w:t xml:space="preserve">8. Signal Guard System</w:t>
      </w:r>
    </w:p>
    <w:p>
      <w:pPr>
        <w:numPr>
          <w:ilvl w:val="0"/>
          <w:numId w:val="1009"/>
        </w:numPr>
        <w:pStyle w:val="Compact"/>
      </w:pPr>
      <w:r>
        <w:t xml:space="preserve">Installed handlers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Supported signals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Fault classification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Recovery behavior</w:t>
      </w:r>
    </w:p>
    <w:bookmarkEnd w:id="33"/>
    <w:bookmarkStart w:id="34" w:name="report-generation-internals"/>
    <w:p>
      <w:pPr>
        <w:pStyle w:val="Heading2"/>
      </w:pPr>
      <w:r>
        <w:t xml:space="preserve">9. Report Generation Internals</w:t>
      </w:r>
    </w:p>
    <w:p>
      <w:pPr>
        <w:numPr>
          <w:ilvl w:val="0"/>
          <w:numId w:val="1010"/>
        </w:numPr>
        <w:pStyle w:val="Compact"/>
      </w:pPr>
      <w:r>
        <w:t xml:space="preserve">Output formatting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Category totals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Fault messages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Notes and metadata</w:t>
      </w:r>
    </w:p>
    <w:bookmarkEnd w:id="34"/>
    <w:bookmarkStart w:id="35" w:name="internal-state-and-global-variables"/>
    <w:p>
      <w:pPr>
        <w:pStyle w:val="Heading2"/>
      </w:pPr>
      <w:r>
        <w:t xml:space="preserve">10. Internal State and Global Variables</w:t>
      </w:r>
    </w:p>
    <w:p>
      <w:pPr>
        <w:pStyle w:val="FirstParagraph"/>
      </w:pPr>
      <w:r>
        <w:t xml:space="preserve">(Placeholder for internal state descriptions.)</w:t>
      </w:r>
    </w:p>
    <w:bookmarkEnd w:id="35"/>
    <w:bookmarkStart w:id="36" w:name="error-handling-and-safety-guarantees"/>
    <w:p>
      <w:pPr>
        <w:pStyle w:val="Heading2"/>
      </w:pPr>
      <w:r>
        <w:t xml:space="preserve">11. Error Handling and Safety Guarantees</w:t>
      </w:r>
    </w:p>
    <w:p>
      <w:pPr>
        <w:pStyle w:val="FirstParagraph"/>
      </w:pPr>
      <w:r>
        <w:t xml:space="preserve">(Placeholder for internal error semantics.)</w:t>
      </w:r>
    </w:p>
    <w:bookmarkEnd w:id="36"/>
    <w:bookmarkStart w:id="37" w:name="implementation-notes"/>
    <w:p>
      <w:pPr>
        <w:pStyle w:val="Heading2"/>
      </w:pPr>
      <w:r>
        <w:t xml:space="preserve">12. Implementation Notes</w:t>
      </w:r>
    </w:p>
    <w:p>
      <w:pPr>
        <w:numPr>
          <w:ilvl w:val="0"/>
          <w:numId w:val="1011"/>
        </w:numPr>
        <w:pStyle w:val="Compact"/>
      </w:pPr>
      <w:r>
        <w:t xml:space="preserve">Portability considerations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POSIX dependencies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Platform differences</w:t>
      </w:r>
    </w:p>
    <w:bookmarkEnd w:id="37"/>
    <w:bookmarkStart w:id="38" w:name="future-improvements"/>
    <w:p>
      <w:pPr>
        <w:pStyle w:val="Heading2"/>
      </w:pPr>
      <w:r>
        <w:t xml:space="preserve">13. Future Improvements</w:t>
      </w:r>
    </w:p>
    <w:p>
      <w:pPr>
        <w:pStyle w:val="FirstParagraph"/>
      </w:pPr>
      <w:r>
        <w:t xml:space="preserve">(Placeholder for roadmap items.)</w:t>
      </w:r>
    </w:p>
    <w:bookmarkEnd w:id="38"/>
    <w:bookmarkStart w:id="39" w:name="glossary"/>
    <w:p>
      <w:pPr>
        <w:pStyle w:val="Heading2"/>
      </w:pPr>
      <w:r>
        <w:t xml:space="preserve">Glossary</w:t>
      </w:r>
    </w:p>
    <w:p>
      <w:pPr>
        <w:pStyle w:val="FirstParagraph"/>
      </w:pPr>
      <w:r>
        <w:t xml:space="preserve">For general terms used the documentation, see the Glossary document.</w:t>
      </w:r>
    </w:p>
    <w:p>
      <w:pPr>
        <w:pStyle w:val="BodyText"/>
      </w:pPr>
      <w:r>
        <w:t xml:space="preserve">Runner-Specific Terms: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Orchestrator Lifecycle</w:t>
      </w:r>
      <w:r>
        <w:t xml:space="preserve">: The sequence of initialization, group execution,</w:t>
      </w:r>
      <w:r>
        <w:t xml:space="preserve"> </w:t>
      </w:r>
      <w:r>
        <w:t xml:space="preserve">test execution, and report finalization performed by the BriteTest framework.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Guard Behavior</w:t>
      </w:r>
      <w:r>
        <w:t xml:space="preserve">: The mechanism BriteTest uses to catch runtime faults</w:t>
      </w:r>
      <w:r>
        <w:t xml:space="preserve"> </w:t>
      </w:r>
      <w:r>
        <w:t xml:space="preserve">(e.g., segmentation faults) and continue executing remaining tests.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Isolation Semantics</w:t>
      </w:r>
      <w:r>
        <w:t xml:space="preserve">: The rules governing how tests and groups run in</w:t>
      </w:r>
      <w:r>
        <w:t xml:space="preserve"> </w:t>
      </w:r>
      <w:r>
        <w:t xml:space="preserve">threads or processes to prevent interference and ensure fault containment.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Concurrency Model</w:t>
      </w:r>
      <w:r>
        <w:t xml:space="preserve">: The framework’s rules for running tests concurrently</w:t>
      </w:r>
      <w:r>
        <w:t xml:space="preserve"> </w:t>
      </w:r>
      <w:r>
        <w:t xml:space="preserve">within</w:t>
      </w:r>
      <w:r>
        <w:t xml:space="preserve"> </w:t>
      </w:r>
      <w:r>
        <w:rPr>
          <w:rStyle w:val="VerbatimChar"/>
        </w:rPr>
        <w:t xml:space="preserve">RA_BEGIN_CONCURRENT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RA_END_CONCURRENT</w:t>
      </w:r>
      <w:r>
        <w:t xml:space="preserve"> </w:t>
      </w:r>
      <w:r>
        <w:t xml:space="preserve">blocks.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Execution Phases</w:t>
      </w:r>
      <w:r>
        <w:t xml:space="preserve">: The internal stages of orchestrator operation, including</w:t>
      </w:r>
      <w:r>
        <w:t xml:space="preserve"> </w:t>
      </w:r>
      <w:r>
        <w:t xml:space="preserve">initialization, argument parsing, group dispatch, test dispatch, and report</w:t>
      </w:r>
      <w:r>
        <w:t xml:space="preserve"> </w:t>
      </w:r>
      <w:r>
        <w:t xml:space="preserve">writing.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Fault Handling Model</w:t>
      </w:r>
      <w:r>
        <w:t xml:space="preserve">: The framework’s strategy for capturing and reporting</w:t>
      </w:r>
      <w:r>
        <w:t xml:space="preserve"> </w:t>
      </w:r>
      <w:r>
        <w:t xml:space="preserve">faults without terminating the entire test run.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Control File Promotion</w:t>
      </w:r>
      <w:r>
        <w:t xml:space="preserve">: The process of replacing an outdated control file</w:t>
      </w:r>
      <w:r>
        <w:t xml:space="preserve"> </w:t>
      </w:r>
      <w:r>
        <w:t xml:space="preserve">with a newly generated file when differences are expected or intentional.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Nested Group Behavior</w:t>
      </w:r>
      <w:r>
        <w:t xml:space="preserve">: The rules governing how groups may contain other</w:t>
      </w:r>
      <w:r>
        <w:t xml:space="preserve"> </w:t>
      </w:r>
      <w:r>
        <w:t xml:space="preserve">groups and how isolation and concurrency propagate through nested structures.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Concurrent Block Behavior</w:t>
      </w:r>
      <w:r>
        <w:t xml:space="preserve">: The semantics of executing multiple tests in</w:t>
      </w:r>
      <w:r>
        <w:t xml:space="preserve"> </w:t>
      </w:r>
      <w:r>
        <w:t xml:space="preserve">parallel within a concurrent block, including ordering and isolation rules.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Runner_Internal_Guide</dc:title>
  <dc:creator/>
  <cp:keywords/>
  <dcterms:created xsi:type="dcterms:W3CDTF">2026-07-02T04:47:03Z</dcterms:created>
  <dcterms:modified xsi:type="dcterms:W3CDTF">2026-07-02T04:47:03Z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