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Runner_Internal_Reference</w:t>
      </w:r>
    </w:p>
    <w:p>
      <w:pPr>
        <w:pStyle w:val="FirstParagraph"/>
      </w:pPr>
      <w:r>
        <w:t xml:space="preserve">This document provides a reference to the BriteTestRunner API internals.</w:t>
      </w:r>
      <w:r>
        <w:t xml:space="preserve"> </w:t>
      </w:r>
      <w:r>
        <w:t xml:space="preserve">It includes types, structs, unions, enums, macros, and functions.</w:t>
      </w:r>
    </w:p>
    <w:bookmarkStart w:id="20" w:name="copyright-c-2026-paul-sinclair"/>
    <w:p>
      <w:pPr>
        <w:pStyle w:val="Heading4"/>
      </w:pPr>
      <w:r>
        <w:t xml:space="preserve">Copyright (c) 2026 Paul Sinclair</w:t>
      </w:r>
    </w:p>
    <w:bookmarkEnd w:id="20"/>
    <w:bookmarkStart w:id="21" w:name="license"/>
    <w:p>
      <w:pPr>
        <w:pStyle w:val="Heading3"/>
      </w:pPr>
      <w:r>
        <w:t xml:space="preserve">License</w:t>
      </w:r>
    </w:p>
    <w:p>
      <w:pPr>
        <w:pStyle w:val="FirstParagraph"/>
      </w:pPr>
      <w:r>
        <w:t xml:space="preserve">SPDX-License-Identifier: MIT</w:t>
      </w:r>
    </w:p>
    <w:p>
      <w:pPr>
        <w:pStyle w:val="BodyText"/>
      </w:pPr>
      <w:r>
        <w:t xml:space="preserve">Permission is hereby granted, free of charge, to any person obtaining a copy</w:t>
      </w:r>
      <w:r>
        <w:t xml:space="preserve"> </w:t>
      </w:r>
      <w:r>
        <w:t xml:space="preserve">of this software and associated documentation files (the</w:t>
      </w:r>
      <w:r>
        <w:t xml:space="preserve"> </w:t>
      </w:r>
      <w:r>
        <w:t xml:space="preserve">“</w:t>
      </w:r>
      <w:r>
        <w:t xml:space="preserve">Software</w:t>
      </w:r>
      <w:r>
        <w:t xml:space="preserve">”</w:t>
      </w:r>
      <w:r>
        <w:t xml:space="preserve">), to deal</w:t>
      </w:r>
      <w:r>
        <w:t xml:space="preserve"> </w:t>
      </w:r>
      <w:r>
        <w:t xml:space="preserve">in the Software without restriction, including without limitation the rights</w:t>
      </w:r>
      <w:r>
        <w:t xml:space="preserve"> </w:t>
      </w:r>
      <w:r>
        <w:t xml:space="preserve">to use, copy, modify, merge, publish, distribute, sublicense, and/or sell</w:t>
      </w:r>
      <w:r>
        <w:t xml:space="preserve"> </w:t>
      </w:r>
      <w:r>
        <w:t xml:space="preserve">copies of the Software, and to permit persons to whom the Software is</w:t>
      </w:r>
      <w:r>
        <w:t xml:space="preserve"> </w:t>
      </w:r>
      <w:r>
        <w:t xml:space="preserve">furnished to do so, subject to the following conditions:</w:t>
      </w:r>
    </w:p>
    <w:p>
      <w:pPr>
        <w:pStyle w:val="BodyText"/>
      </w:pPr>
      <w:r>
        <w:t xml:space="preserve">The above copyright notice and this permission notice shall be included in all</w:t>
      </w:r>
      <w:r>
        <w:t xml:space="preserve"> </w:t>
      </w:r>
      <w:r>
        <w:t xml:space="preserve">copies or substantial portions of the Software.</w:t>
      </w:r>
    </w:p>
    <w:p>
      <w:pPr>
        <w:pStyle w:val="BodyText"/>
      </w:pPr>
      <w:r>
        <w:t xml:space="preserve">THE SOFTWARE IS PROVIDED</w:t>
      </w:r>
      <w:r>
        <w:t xml:space="preserve"> </w:t>
      </w:r>
      <w:r>
        <w:t xml:space="preserve">“</w:t>
      </w:r>
      <w:r>
        <w:t xml:space="preserve">AS IS</w:t>
      </w:r>
      <w:r>
        <w:t xml:space="preserve">”</w:t>
      </w:r>
      <w:r>
        <w:t xml:space="preserve">, WITHOUT WARRANTY OF ANY KIND, EXPRESS OR</w:t>
      </w:r>
      <w:r>
        <w:t xml:space="preserve"> </w:t>
      </w:r>
      <w:r>
        <w:t xml:space="preserve">IMPLIED, INCLUDING BUT NOT LIMITED TO THE WARRANTIES OF MERCHANTABILITY,</w:t>
      </w:r>
      <w:r>
        <w:t xml:space="preserve"> </w:t>
      </w:r>
      <w:r>
        <w:t xml:space="preserve">FITNESS FOR A PARTICULAR PURPOSE AND NONINFRINGEMENT. IN NO EVENT SHALL THE</w:t>
      </w:r>
      <w:r>
        <w:t xml:space="preserve"> </w:t>
      </w:r>
      <w:r>
        <w:t xml:space="preserve">AUTHORS OR COPYRIGHT HOLDERS BE LIABLE FOR ANY CLAIM, DAMAGES OR OTHER</w:t>
      </w:r>
      <w:r>
        <w:t xml:space="preserve"> </w:t>
      </w:r>
      <w:r>
        <w:t xml:space="preserve">LIABILITY, WHETHER IN AN ACTION OF CONTRACT, TORT OR OTHERWISE, ARISING FROM,</w:t>
      </w:r>
      <w:r>
        <w:t xml:space="preserve"> </w:t>
      </w:r>
      <w:r>
        <w:t xml:space="preserve">OUT OF OR IN CONNECTION WITH THE SOFTWARE OR THE USE OR OTHER DEALINGS IN THE</w:t>
      </w:r>
      <w:r>
        <w:t xml:space="preserve"> </w:t>
      </w:r>
      <w:r>
        <w:t xml:space="preserve">SOFTWARE.</w:t>
      </w:r>
    </w:p>
    <w:bookmarkEnd w:id="21"/>
    <w:bookmarkStart w:id="23" w:name="preface"/>
    <w:p>
      <w:pPr>
        <w:pStyle w:val="Heading2"/>
      </w:pPr>
      <w:r>
        <w:t xml:space="preserve">Preface</w:t>
      </w:r>
    </w:p>
    <w:p>
      <w:pPr>
        <w:pStyle w:val="FirstParagraph"/>
      </w:pPr>
      <w:r>
        <w:t xml:space="preserve">This document is intended for contributors who need a reference for the</w:t>
      </w:r>
      <w:r>
        <w:t xml:space="preserve"> </w:t>
      </w:r>
      <w:r>
        <w:t xml:space="preserve">internals of the Runner Framework and API.</w:t>
      </w:r>
    </w:p>
    <w:p>
      <w:pPr>
        <w:pStyle w:val="BodyText"/>
      </w:pPr>
      <w:r>
        <w:t xml:space="preserve">For a list of other documents and the repository layout, see</w:t>
      </w:r>
      <w:r>
        <w:t xml:space="preserve"> </w:t>
      </w:r>
      <w:r>
        <w:t xml:space="preserve">the Documentation Guide.</w:t>
      </w:r>
    </w:p>
    <w:p>
      <w:pPr>
        <w:pStyle w:val="BodyText"/>
      </w:pPr>
      <w:r>
        <w:t xml:space="preserve">For a glossary of terms, see the Glossary Reference.</w:t>
      </w:r>
    </w:p>
    <w:p>
      <w:pPr>
        <w:pStyle w:val="BodyText"/>
      </w:pPr>
      <w:r>
        <w:t xml:space="preserve">A printer-friendly PDF file for this document is available in</w:t>
      </w:r>
      <w:r>
        <w:t xml:space="preserve"> </w:t>
      </w:r>
      <w:r>
        <w:rPr>
          <w:rStyle w:val="VerbatimChar"/>
        </w:rPr>
        <w:t xml:space="preserve">docs/pdf/</w:t>
      </w:r>
      <w:r>
        <w:t xml:space="preserve">.</w:t>
      </w:r>
    </w:p>
    <w:bookmarkStart w:id="22" w:name="document-version-history"/>
    <w:p>
      <w:pPr>
        <w:pStyle w:val="Heading3"/>
      </w:pPr>
      <w:r>
        <w:t xml:space="preserve">Document Version History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466"/>
        <w:gridCol w:w="880"/>
        <w:gridCol w:w="1173"/>
        <w:gridCol w:w="880"/>
        <w:gridCol w:w="1320"/>
        <w:gridCol w:w="220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Document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Author/Editor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2026-06-11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Initial version.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Paul Sinclair</w:t>
            </w:r>
          </w:p>
        </w:tc>
      </w:tr>
    </w:tbl>
    <w:p>
      <w:pPr>
        <w:numPr>
          <w:ilvl w:val="0"/>
          <w:numId w:val="1001"/>
        </w:numPr>
        <w:pStyle w:val="Compact"/>
      </w:pPr>
      <w:r>
        <w:t xml:space="preserve">The</w:t>
      </w:r>
      <w:r>
        <w:t xml:space="preserve"> </w:t>
      </w:r>
      <w:r>
        <w:rPr>
          <w:bCs/>
          <w:b/>
        </w:rPr>
        <w:t xml:space="preserve">Document</w:t>
      </w:r>
      <w:r>
        <w:t xml:space="preserve"> </w:t>
      </w:r>
      <w:r>
        <w:t xml:space="preserve">column records the document’s version.</w:t>
      </w:r>
    </w:p>
    <w:p>
      <w:pPr>
        <w:numPr>
          <w:ilvl w:val="0"/>
          <w:numId w:val="1001"/>
        </w:numPr>
        <w:pStyle w:val="Compact"/>
      </w:pPr>
      <w:r>
        <w:t xml:space="preserve">The</w:t>
      </w:r>
      <w:r>
        <w:t xml:space="preserve"> </w:t>
      </w:r>
      <w:r>
        <w:rPr>
          <w:bCs/>
          <w:b/>
        </w:rPr>
        <w:t xml:space="preserve">Runner</w:t>
      </w:r>
      <w:r>
        <w:t xml:space="preserve"> </w:t>
      </w:r>
      <w:r>
        <w:t xml:space="preserve">column records the Runner API version</w:t>
      </w:r>
      <w:r>
        <w:t xml:space="preserve"> </w:t>
      </w:r>
      <w:r>
        <w:t xml:space="preserve">current at the time this version of the document was published.</w:t>
      </w:r>
    </w:p>
    <w:p>
      <w:pPr>
        <w:numPr>
          <w:ilvl w:val="0"/>
          <w:numId w:val="1001"/>
        </w:numPr>
        <w:pStyle w:val="Compact"/>
      </w:pPr>
      <w:r>
        <w:t xml:space="preserve">The</w:t>
      </w:r>
      <w:r>
        <w:t xml:space="preserve"> </w:t>
      </w:r>
      <w:r>
        <w:rPr>
          <w:bCs/>
          <w:b/>
        </w:rPr>
        <w:t xml:space="preserve">Test</w:t>
      </w:r>
      <w:r>
        <w:t xml:space="preserve"> </w:t>
      </w:r>
      <w:r>
        <w:t xml:space="preserve">column records the Test API version current at</w:t>
      </w:r>
      <w:r>
        <w:t xml:space="preserve"> </w:t>
      </w:r>
      <w:r>
        <w:t xml:space="preserve">the time this version of the document was published.</w:t>
      </w:r>
    </w:p>
    <w:p>
      <w:pPr>
        <w:pStyle w:val="FirstParagraph"/>
      </w:pPr>
      <w:r>
        <w:t xml:space="preserve">A version has the format</w:t>
      </w:r>
      <w:r>
        <w:t xml:space="preserve"> </w:t>
      </w:r>
      <w:r>
        <w:rPr>
          <w:rStyle w:val="VerbatimChar"/>
        </w:rPr>
        <w:t xml:space="preserve">M.m.p</w:t>
      </w:r>
      <w:r>
        <w:t xml:space="preserve"> </w:t>
      </w:r>
      <w:r>
        <w:t xml:space="preserve">(Major, minor, patch) where</w:t>
      </w:r>
      <w:r>
        <w:t xml:space="preserve"> </w:t>
      </w:r>
      <w:r>
        <w:rPr>
          <w:rStyle w:val="VerbatimChar"/>
        </w:rPr>
        <w:t xml:space="preserve">M</w:t>
      </w:r>
      <w:r>
        <w:t xml:space="preserve"> </w:t>
      </w:r>
      <w:r>
        <w:t xml:space="preserve">is the</w:t>
      </w:r>
      <w:r>
        <w:t xml:space="preserve"> </w:t>
      </w:r>
      <w:r>
        <w:t xml:space="preserve">major version,</w:t>
      </w:r>
      <w:r>
        <w:t xml:space="preserve"> </w:t>
      </w:r>
      <w:r>
        <w:rPr>
          <w:rStyle w:val="VerbatimChar"/>
        </w:rPr>
        <w:t xml:space="preserve">m</w:t>
      </w:r>
      <w:r>
        <w:t xml:space="preserve"> </w:t>
      </w:r>
      <w:r>
        <w:t xml:space="preserve">is the minor version, and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is the patch version.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increments when the document is updated without a change to</w:t>
      </w:r>
      <w:r>
        <w:t xml:space="preserve"> </w:t>
      </w:r>
      <w:r>
        <w:rPr>
          <w:rStyle w:val="VerbatimChar"/>
        </w:rPr>
        <w:t xml:space="preserve">M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m</w:t>
      </w:r>
      <w:r>
        <w:t xml:space="preserve">,</w:t>
      </w:r>
      <w:r>
        <w:t xml:space="preserve"> </w:t>
      </w:r>
      <w:r>
        <w:t xml:space="preserve">and resets to 0 when</w:t>
      </w:r>
      <w:r>
        <w:t xml:space="preserve"> </w:t>
      </w:r>
      <w:r>
        <w:rPr>
          <w:rStyle w:val="VerbatimChar"/>
        </w:rPr>
        <w:t xml:space="preserve">M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m</w:t>
      </w:r>
      <w:r>
        <w:t xml:space="preserve"> </w:t>
      </w:r>
      <w:r>
        <w:t xml:space="preserve">increases. The first table entry is the most</w:t>
      </w:r>
      <w:r>
        <w:t xml:space="preserve"> </w:t>
      </w:r>
      <w:r>
        <w:t xml:space="preserve">recent version for this document at the time this document was published.</w:t>
      </w:r>
    </w:p>
    <w:p>
      <w:pPr>
        <w:pStyle w:val="BodyText"/>
      </w:pPr>
    </w:p>
    <w:bookmarkEnd w:id="22"/>
    <w:bookmarkEnd w:id="23"/>
    <w:bookmarkStart w:id="24" w:name="table-of-contents"/>
    <w:p>
      <w:pPr>
        <w:pStyle w:val="Heading2"/>
      </w:pPr>
      <w:r>
        <w:t xml:space="preserve">Table of Contents</w:t>
      </w:r>
    </w:p>
    <w:bookmarkEnd w:id="24"/>
    <w:bookmarkStart w:id="25" w:name="introduction"/>
    <w:p>
      <w:pPr>
        <w:pStyle w:val="Heading2"/>
      </w:pPr>
      <w:r>
        <w:t xml:space="preserve">1. Introduction</w:t>
      </w:r>
    </w:p>
    <w:p>
      <w:pPr>
        <w:pStyle w:val="FirstParagraph"/>
      </w:pPr>
      <w:r>
        <w:t xml:space="preserve">BriteTest’s internal architecture consists of several cooperating subsystems,</w:t>
      </w:r>
      <w:r>
        <w:t xml:space="preserve"> </w:t>
      </w:r>
      <w:r>
        <w:t xml:space="preserve">including the implementation of API macros and functions, the execution engine,</w:t>
      </w:r>
      <w:r>
        <w:t xml:space="preserve"> </w:t>
      </w:r>
      <w:r>
        <w:t xml:space="preserve">guard/fault handling, isolation support, file/path utilities, matching/comparison</w:t>
      </w:r>
      <w:r>
        <w:t xml:space="preserve"> </w:t>
      </w:r>
      <w:r>
        <w:t xml:space="preserve">helpers, and environment support. These components work together to run test</w:t>
      </w:r>
      <w:r>
        <w:t xml:space="preserve"> </w:t>
      </w:r>
      <w:r>
        <w:t xml:space="preserve">groups and test expressions reliably across threads and processes while capturing</w:t>
      </w:r>
      <w:r>
        <w:t xml:space="preserve"> </w:t>
      </w:r>
      <w:r>
        <w:t xml:space="preserve">faults and producing structured reports.</w:t>
      </w:r>
    </w:p>
    <w:p>
      <w:pPr>
        <w:pStyle w:val="BodyText"/>
      </w:pPr>
      <w:r>
        <w:t xml:space="preserve">The remainder of this document describes each internal symbol used to implement</w:t>
      </w:r>
      <w:r>
        <w:t xml:space="preserve"> </w:t>
      </w:r>
      <w:r>
        <w:t xml:space="preserve">these subsystems, organized from high-level behavior down to low-level details.</w:t>
      </w:r>
    </w:p>
    <w:p>
      <w:pPr>
        <w:pStyle w:val="BodyText"/>
      </w:pPr>
      <w:r>
        <w:t xml:space="preserve">In this document, a</w:t>
      </w:r>
      <w:r>
        <w:t xml:space="preserve"> </w:t>
      </w:r>
      <w:r>
        <w:rPr>
          <w:iCs/>
          <w:i/>
        </w:rPr>
        <w:t xml:space="preserve">symbol</w:t>
      </w:r>
      <w:r>
        <w:t xml:space="preserve"> </w:t>
      </w:r>
      <w:r>
        <w:t xml:space="preserve">refers to any named entity in the BriteTest framework, including:</w:t>
      </w:r>
    </w:p>
    <w:p>
      <w:pPr>
        <w:numPr>
          <w:ilvl w:val="0"/>
          <w:numId w:val="1002"/>
        </w:numPr>
        <w:pStyle w:val="Compact"/>
      </w:pPr>
      <w:r>
        <w:t xml:space="preserve">typedefs</w:t>
      </w:r>
    </w:p>
    <w:p>
      <w:pPr>
        <w:numPr>
          <w:ilvl w:val="0"/>
          <w:numId w:val="1002"/>
        </w:numPr>
        <w:pStyle w:val="Compact"/>
      </w:pPr>
      <w:r>
        <w:t xml:space="preserve">structs</w:t>
      </w:r>
    </w:p>
    <w:p>
      <w:pPr>
        <w:numPr>
          <w:ilvl w:val="0"/>
          <w:numId w:val="1002"/>
        </w:numPr>
        <w:pStyle w:val="Compact"/>
      </w:pPr>
      <w:r>
        <w:t xml:space="preserve">enums and enum values</w:t>
      </w:r>
    </w:p>
    <w:p>
      <w:pPr>
        <w:numPr>
          <w:ilvl w:val="0"/>
          <w:numId w:val="1002"/>
        </w:numPr>
        <w:pStyle w:val="Compact"/>
      </w:pPr>
      <w:r>
        <w:t xml:space="preserve">macros</w:t>
      </w:r>
    </w:p>
    <w:p>
      <w:pPr>
        <w:numPr>
          <w:ilvl w:val="0"/>
          <w:numId w:val="1002"/>
        </w:numPr>
        <w:pStyle w:val="Compact"/>
      </w:pPr>
      <w:r>
        <w:t xml:space="preserve">variables</w:t>
      </w:r>
    </w:p>
    <w:p>
      <w:pPr>
        <w:numPr>
          <w:ilvl w:val="0"/>
          <w:numId w:val="1002"/>
        </w:numPr>
        <w:pStyle w:val="Compact"/>
      </w:pPr>
      <w:r>
        <w:t xml:space="preserve">functions</w:t>
      </w:r>
    </w:p>
    <w:p>
      <w:pPr>
        <w:pStyle w:val="FirstParagraph"/>
      </w:pPr>
      <w:r>
        <w:t xml:space="preserve">This document is organized by the named entities in the BriteTest Runner</w:t>
      </w:r>
      <w:r>
        <w:t xml:space="preserve"> </w:t>
      </w:r>
      <w:r>
        <w:t xml:space="preserve">implementation. Each symbol (type, macro, function, etc.) is described individually, including its purpose, behavior, and usage. It serves as</w:t>
      </w:r>
      <w:r>
        <w:t xml:space="preserve"> </w:t>
      </w:r>
      <w:r>
        <w:t xml:space="preserve">the reference companion to the BriteTest Framework Guide, defining the</w:t>
      </w:r>
      <w:r>
        <w:t xml:space="preserve"> </w:t>
      </w:r>
      <w:r>
        <w:t xml:space="preserve">framework’s components precisely while the Guide explains their design</w:t>
      </w:r>
      <w:r>
        <w:t xml:space="preserve"> </w:t>
      </w:r>
      <w:r>
        <w:t xml:space="preserve">and interaction.</w:t>
      </w:r>
    </w:p>
    <w:p>
      <w:pPr>
        <w:pStyle w:val="BodyText"/>
      </w:pPr>
      <w:r>
        <w:t xml:space="preserve">###1.2. Public and Internal Naming Conventions</w:t>
      </w:r>
    </w:p>
    <w:p>
      <w:pPr>
        <w:pStyle w:val="BodyText"/>
      </w:pPr>
      <w:r>
        <w:t xml:space="preserve">Any framework names that are public and visible to BriteTest API users are prefixed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ra_...</w:t>
      </w:r>
      <w:r>
        <w:t xml:space="preserve"> </w:t>
      </w:r>
      <w:r>
        <w:t xml:space="preserve">(typically lowercase) or</w:t>
      </w:r>
      <w:r>
        <w:t xml:space="preserve"> </w:t>
      </w:r>
      <w:r>
        <w:rPr>
          <w:rStyle w:val="VerbatimChar"/>
        </w:rPr>
        <w:t xml:space="preserve">RA_...</w:t>
      </w:r>
      <w:r>
        <w:t xml:space="preserve"> </w:t>
      </w:r>
      <w:r>
        <w:t xml:space="preserve">(typically uppercase).</w:t>
      </w:r>
    </w:p>
    <w:p>
      <w:pPr>
        <w:pStyle w:val="BodyText"/>
      </w:pPr>
      <w:r>
        <w:t xml:space="preserve">Any framework names that are internal (but technically visible to BriteTest API users)</w:t>
      </w:r>
      <w:r>
        <w:t xml:space="preserve"> </w:t>
      </w:r>
      <w:r>
        <w:t xml:space="preserve">follow the pattern</w:t>
      </w:r>
      <w:r>
        <w:t xml:space="preserve"> </w:t>
      </w:r>
      <w:r>
        <w:rPr>
          <w:rStyle w:val="VerbatimChar"/>
        </w:rPr>
        <w:t xml:space="preserve">britetest_..._internal_t</w:t>
      </w:r>
      <w:r>
        <w:t xml:space="preserve">,</w:t>
      </w:r>
      <w:r>
        <w:t xml:space="preserve"> </w:t>
      </w:r>
      <w:r>
        <w:rPr>
          <w:rStyle w:val="VerbatimChar"/>
        </w:rPr>
        <w:t xml:space="preserve">britetest_..._internal</w:t>
      </w:r>
      <w:r>
        <w:t xml:space="preserve">, or</w:t>
      </w:r>
      <w:r>
        <w:t xml:space="preserve"> </w:t>
      </w:r>
      <w:r>
        <w:rPr>
          <w:rStyle w:val="VerbatimChar"/>
        </w:rPr>
        <w:t xml:space="preserve">BRITETEST_..._INTERNAL</w:t>
      </w:r>
      <w:r>
        <w:t xml:space="preserve">.</w:t>
      </w:r>
      <w:r>
        <w:t xml:space="preserve"> </w:t>
      </w:r>
      <w:r>
        <w:t xml:space="preserve">These names should not be referenced by API users.</w:t>
      </w:r>
    </w:p>
    <w:p>
      <w:pPr>
        <w:pStyle w:val="BodyText"/>
      </w:pPr>
      <w:r>
        <w:t xml:space="preserve">In general, users of the API should not define names prefixed with</w:t>
      </w:r>
      <w:r>
        <w:t xml:space="preserve"> </w:t>
      </w:r>
      <w:r>
        <w:rPr>
          <w:rStyle w:val="VerbatimChar"/>
        </w:rPr>
        <w:t xml:space="preserve">ra_</w:t>
      </w:r>
      <w:r>
        <w:t xml:space="preserve">,</w:t>
      </w:r>
      <w:r>
        <w:t xml:space="preserve"> </w:t>
      </w:r>
      <w:r>
        <w:rPr>
          <w:rStyle w:val="VerbatimChar"/>
        </w:rPr>
        <w:t xml:space="preserve">BT</w:t>
      </w:r>
      <w:r>
        <w:t xml:space="preserve">,</w:t>
      </w:r>
      <w:r>
        <w:t xml:space="preserve"> </w:t>
      </w:r>
      <w:r>
        <w:rPr>
          <w:rStyle w:val="VerbatimChar"/>
        </w:rPr>
        <w:t xml:space="preserve">britetest_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BRITETEST</w:t>
      </w:r>
      <w:r>
        <w:t xml:space="preserve">, or reference names prefixed with</w:t>
      </w:r>
      <w:r>
        <w:t xml:space="preserve"> </w:t>
      </w:r>
      <w:r>
        <w:rPr>
          <w:rStyle w:val="VerbatimChar"/>
        </w:rPr>
        <w:t xml:space="preserve">britetest_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BRITETEST_</w:t>
      </w:r>
      <w:r>
        <w:t xml:space="preserve">.</w:t>
      </w:r>
    </w:p>
    <w:bookmarkEnd w:id="25"/>
    <w:bookmarkStart w:id="38" w:name="symbols-defined-in-runnerapi.h"/>
    <w:p>
      <w:pPr>
        <w:pStyle w:val="Heading2"/>
      </w:pPr>
      <w:r>
        <w:t xml:space="preserve">2. Symbols Defined in</w:t>
      </w:r>
      <w:r>
        <w:t xml:space="preserve"> </w:t>
      </w:r>
      <w:r>
        <w:rPr>
          <w:rStyle w:val="VerbatimChar"/>
        </w:rPr>
        <w:t xml:space="preserve">runnerapi.h</w:t>
      </w:r>
    </w:p>
    <w:p>
      <w:pPr>
        <w:pStyle w:val="FirstParagraph"/>
      </w:pPr>
      <w:r>
        <w:t xml:space="preserve">These are used by</w:t>
      </w:r>
      <w:r>
        <w:t xml:space="preserve"> </w:t>
      </w:r>
      <w:r>
        <w:rPr>
          <w:rStyle w:val="VerbatimChar"/>
        </w:rPr>
        <w:t xml:space="preserve">runnerapi.h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runnerapi.c</w:t>
      </w:r>
      <w:r>
        <w:t xml:space="preserve">, and are public or internal</w:t>
      </w:r>
      <w:r>
        <w:t xml:space="preserve"> </w:t>
      </w:r>
      <w:r>
        <w:t xml:space="preserve">based on their name per the naming conventions.</w:t>
      </w:r>
    </w:p>
    <w:bookmarkStart w:id="27" w:name="types"/>
    <w:p>
      <w:pPr>
        <w:pStyle w:val="Heading3"/>
      </w:pPr>
      <w:r>
        <w:t xml:space="preserve">2.1. Types</w:t>
      </w:r>
    </w:p>
    <w:p>
      <w:pPr>
        <w:pStyle w:val="FirstParagraph"/>
      </w:pPr>
      <w:r>
        <w:t xml:space="preserve">These typedefs declare fundamental internal types used throughout the BriteTest framework.</w:t>
      </w:r>
    </w:p>
    <w:bookmarkStart w:id="26" w:name="ra_resubt_t"/>
    <w:p>
      <w:pPr>
        <w:pStyle w:val="Heading4"/>
      </w:pPr>
      <w:r>
        <w:t xml:space="preserve">ra_resubt_t</w:t>
      </w:r>
    </w:p>
    <w:p>
      <w:pPr>
        <w:pStyle w:val="FirstParagraph"/>
      </w:pPr>
      <w:r>
        <w:rPr>
          <w:bCs/>
          <w:b/>
        </w:rPr>
        <w:t xml:space="preserve">Declaration</w:t>
      </w:r>
    </w:p>
    <w:p>
      <w:pPr>
        <w:pStyle w:val="SourceCode"/>
      </w:pP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br/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pass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fail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fault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injected_fail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injected_fault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rPr>
          <w:rStyle w:val="NormalTok"/>
        </w:rPr>
        <w:t xml:space="preserve"> ra_resubt_t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bCs/>
          <w:b/>
        </w:rPr>
        <w:t xml:space="preserve">Description</w:t>
      </w:r>
      <w:r>
        <w:br/>
      </w:r>
      <w:r>
        <w:t xml:space="preserve">Result counters produced by test execution and propagated through group and</w:t>
      </w:r>
      <w:r>
        <w:t xml:space="preserve"> </w:t>
      </w:r>
      <w:r>
        <w:t xml:space="preserve">orchestrator aggregation logic.</w:t>
      </w:r>
    </w:p>
    <w:p>
      <w:pPr>
        <w:pStyle w:val="BodyText"/>
      </w:pPr>
      <w:r>
        <w:rPr>
          <w:bCs/>
          <w:b/>
        </w:rPr>
        <w:t xml:space="preserve">Usage Notes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fault == SIZE_MAX</w:t>
      </w:r>
      <w:r>
        <w:t xml:space="preserve"> </w:t>
      </w:r>
      <w:r>
        <w:t xml:space="preserve">is a sentinel meaning a function-level fault was captured.</w:t>
      </w:r>
      <w:r>
        <w:t xml:space="preserve"> </w:t>
      </w:r>
      <w:r>
        <w:t xml:space="preserve">- Function-level fault sentinel values are introduced by the signal-guard path.</w:t>
      </w:r>
      <w:r>
        <w:t xml:space="preserve"> </w:t>
      </w:r>
      <w:r>
        <w:t xml:space="preserve">- This sentinel is distinct from ordinary fault counts returned by test logic.</w:t>
      </w:r>
      <w:r>
        <w:t xml:space="preserve"> </w:t>
      </w:r>
      <w:r>
        <w:t xml:space="preserve">- Related helpers include</w:t>
      </w:r>
      <w:r>
        <w:t xml:space="preserve"> </w:t>
      </w:r>
      <w:r>
        <w:rPr>
          <w:rStyle w:val="VerbatimChar"/>
        </w:rPr>
        <w:t xml:space="preserve">ra_currentresult(void)</w:t>
      </w:r>
      <w:r>
        <w:t xml:space="preserve"> </w:t>
      </w:r>
      <w:r>
        <w:t xml:space="preserve">and result-merging macros.</w:t>
      </w:r>
    </w:p>
    <w:p>
      <w:pPr>
        <w:pStyle w:val="BodyText"/>
      </w:pPr>
      <w:r>
        <w:rPr>
          <w:bCs/>
          <w:b/>
        </w:rPr>
        <w:t xml:space="preserve">Example</w:t>
      </w:r>
    </w:p>
    <w:p>
      <w:pPr>
        <w:pStyle w:val="SourceCode"/>
      </w:pPr>
      <w:r>
        <w:rPr>
          <w:rStyle w:val="NormalTok"/>
        </w:rPr>
        <w:t xml:space="preserve">ra_resubt_t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};</w:t>
      </w:r>
    </w:p>
    <w:p>
      <w:pPr>
        <w:pStyle w:val="FirstParagraph"/>
      </w:pPr>
    </w:p>
    <w:bookmarkEnd w:id="26"/>
    <w:bookmarkEnd w:id="27"/>
    <w:bookmarkStart w:id="29" w:name="structs"/>
    <w:p>
      <w:pPr>
        <w:pStyle w:val="Heading3"/>
      </w:pPr>
      <w:r>
        <w:t xml:space="preserve">2.2. Structs</w:t>
      </w:r>
    </w:p>
    <w:bookmarkStart w:id="28" w:name="struct"/>
    <w:p>
      <w:pPr>
        <w:pStyle w:val="Heading4"/>
      </w:pPr>
      <w:r>
        <w:t xml:space="preserve">struct</w:t>
      </w:r>
      <w:r>
        <w:t xml:space="preserve"> </w:t>
      </w:r>
    </w:p>
    <w:p>
      <w:pPr>
        <w:pStyle w:val="FirstParagraph"/>
      </w:pPr>
      <w:r>
        <w:rPr>
          <w:bCs/>
          <w:b/>
        </w:rPr>
        <w:t xml:space="preserve">Declaration</w:t>
      </w:r>
    </w:p>
    <w:p>
      <w:pPr>
        <w:pStyle w:val="SourceCode"/>
      </w:pP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StructName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field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type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field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&gt;;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...</w:t>
      </w:r>
      <w:r>
        <w:br/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StructName</w:t>
      </w:r>
      <w:r>
        <w:rPr>
          <w:rStyle w:val="OperatorTok"/>
        </w:rPr>
        <w:t xml:space="preserve">&gt;;</w:t>
      </w:r>
    </w:p>
    <w:p>
      <w:pPr>
        <w:pStyle w:val="FirstParagraph"/>
      </w:pPr>
      <w:r>
        <w:rPr>
          <w:bCs/>
          <w:b/>
        </w:rPr>
        <w:t xml:space="preserve">Description</w:t>
      </w:r>
      <w:r>
        <w:br/>
      </w:r>
      <w:r>
        <w:t xml:space="preserve">Explain the purpose of this struct, what data it aggregates, and how it participates in the BriteTest execution model.</w:t>
      </w:r>
    </w:p>
    <w:p>
      <w:pPr>
        <w:pStyle w:val="BodyText"/>
      </w:pPr>
      <w:r>
        <w:rPr>
          <w:bCs/>
          <w:b/>
        </w:rPr>
        <w:t xml:space="preserve">Fields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&lt;field-name&gt;</w:t>
      </w:r>
      <w:r>
        <w:t xml:space="preserve"> </w:t>
      </w:r>
      <w:r>
        <w:t xml:space="preserve">– description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&lt;field-name&gt;</w:t>
      </w:r>
      <w:r>
        <w:t xml:space="preserve"> </w:t>
      </w:r>
      <w:r>
        <w:t xml:space="preserve">– description</w:t>
      </w:r>
    </w:p>
    <w:p>
      <w:pPr>
        <w:pStyle w:val="BodyText"/>
      </w:pPr>
      <w:r>
        <w:rPr>
          <w:bCs/>
          <w:b/>
        </w:rPr>
        <w:t xml:space="preserve">Usage Notes</w:t>
      </w:r>
      <w:r>
        <w:br/>
      </w:r>
      <w:r>
        <w:t xml:space="preserve">- Ownership or lifetime rules</w:t>
      </w:r>
      <w:r>
        <w:br/>
      </w:r>
      <w:r>
        <w:t xml:space="preserve">- Whether fields must be initialized by the user or framework</w:t>
      </w:r>
    </w:p>
    <w:p>
      <w:pPr>
        <w:pStyle w:val="BodyText"/>
      </w:pPr>
      <w:r>
        <w:rPr>
          <w:bCs/>
          <w:b/>
        </w:rPr>
        <w:t xml:space="preserve">Example</w:t>
      </w:r>
    </w:p>
    <w:p>
      <w:pPr>
        <w:pStyle w:val="SourceCode"/>
      </w:pPr>
      <w:r>
        <w:rPr>
          <w:rStyle w:val="OperatorTok"/>
        </w:rPr>
        <w:t xml:space="preserve">&lt;</w:t>
      </w:r>
      <w:r>
        <w:rPr>
          <w:rStyle w:val="NormalTok"/>
        </w:rPr>
        <w:t xml:space="preserve">StructName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</w:p>
    <w:p>
      <w:pPr>
        <w:pStyle w:val="FirstParagraph"/>
      </w:pPr>
    </w:p>
    <w:bookmarkEnd w:id="28"/>
    <w:bookmarkEnd w:id="29"/>
    <w:bookmarkStart w:id="31" w:name="enums-and-enum-values"/>
    <w:p>
      <w:pPr>
        <w:pStyle w:val="Heading3"/>
      </w:pPr>
      <w:r>
        <w:t xml:space="preserve">2.3. Enums and Enum Values</w:t>
      </w:r>
    </w:p>
    <w:bookmarkStart w:id="30" w:name="enum"/>
    <w:p>
      <w:pPr>
        <w:pStyle w:val="Heading4"/>
      </w:pPr>
      <w:r>
        <w:t xml:space="preserve">enum</w:t>
      </w:r>
      <w:r>
        <w:t xml:space="preserve"> </w:t>
      </w:r>
    </w:p>
    <w:p>
      <w:pPr>
        <w:pStyle w:val="FirstParagraph"/>
      </w:pPr>
      <w:r>
        <w:rPr>
          <w:bCs/>
          <w:b/>
        </w:rPr>
        <w:t xml:space="preserve">Declaration</w:t>
      </w:r>
    </w:p>
    <w:p>
      <w:pPr>
        <w:pStyle w:val="SourceCode"/>
      </w:pP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enum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EnumName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ENUM_VALUE_1</w:t>
      </w:r>
      <w:r>
        <w:rPr>
          <w:rStyle w:val="OperatorTok"/>
        </w:rPr>
        <w:t xml:space="preserve">&gt;,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ENUM_VALUE_2</w:t>
      </w:r>
      <w:r>
        <w:rPr>
          <w:rStyle w:val="OperatorTok"/>
        </w:rPr>
        <w:t xml:space="preserve">&gt;,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...</w:t>
      </w:r>
      <w:r>
        <w:br/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EnumName</w:t>
      </w:r>
      <w:r>
        <w:rPr>
          <w:rStyle w:val="OperatorTok"/>
        </w:rPr>
        <w:t xml:space="preserve">&gt;;</w:t>
      </w:r>
    </w:p>
    <w:p>
      <w:pPr>
        <w:pStyle w:val="FirstParagraph"/>
      </w:pPr>
      <w:r>
        <w:rPr>
          <w:bCs/>
          <w:b/>
        </w:rPr>
        <w:t xml:space="preserve">Description</w:t>
      </w:r>
      <w:r>
        <w:br/>
      </w:r>
      <w:r>
        <w:t xml:space="preserve">Explain what conceptual category this enum models and how the values are used by the framework.</w:t>
      </w:r>
    </w:p>
    <w:p>
      <w:pPr>
        <w:pStyle w:val="BodyText"/>
      </w:pPr>
      <w:r>
        <w:rPr>
          <w:bCs/>
          <w:b/>
        </w:rPr>
        <w:t xml:space="preserve">Values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&lt;ENUM_VALUE_1&gt;</w:t>
      </w:r>
      <w:r>
        <w:t xml:space="preserve"> </w:t>
      </w:r>
      <w:r>
        <w:t xml:space="preserve">– meaning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&lt;ENUM_VALUE_2&gt;</w:t>
      </w:r>
      <w:r>
        <w:t xml:space="preserve"> </w:t>
      </w:r>
      <w:r>
        <w:t xml:space="preserve">– meaning</w:t>
      </w:r>
    </w:p>
    <w:p>
      <w:pPr>
        <w:pStyle w:val="BodyText"/>
      </w:pPr>
      <w:r>
        <w:rPr>
          <w:bCs/>
          <w:b/>
        </w:rPr>
        <w:t xml:space="preserve">Usage Notes</w:t>
      </w:r>
      <w:r>
        <w:br/>
      </w:r>
      <w:r>
        <w:t xml:space="preserve">- Any ordering assumptions</w:t>
      </w:r>
      <w:r>
        <w:br/>
      </w:r>
      <w:r>
        <w:t xml:space="preserve">- Whether values map to external formats (strings, logs, etc.)</w:t>
      </w:r>
    </w:p>
    <w:p>
      <w:pPr>
        <w:pStyle w:val="BodyText"/>
      </w:pPr>
      <w:r>
        <w:rPr>
          <w:bCs/>
          <w:b/>
        </w:rPr>
        <w:t xml:space="preserve">Example</w:t>
      </w:r>
    </w:p>
    <w:p>
      <w:pPr>
        <w:pStyle w:val="SourceCode"/>
      </w:pPr>
      <w:r>
        <w:rPr>
          <w:rStyle w:val="OperatorTok"/>
        </w:rPr>
        <w:t xml:space="preserve">&lt;</w:t>
      </w:r>
      <w:r>
        <w:rPr>
          <w:rStyle w:val="NormalTok"/>
        </w:rPr>
        <w:t xml:space="preserve">EnumName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mode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ENUM_VALUE_1</w:t>
      </w:r>
      <w:r>
        <w:rPr>
          <w:rStyle w:val="OperatorTok"/>
        </w:rPr>
        <w:t xml:space="preserve">&gt;;</w:t>
      </w:r>
    </w:p>
    <w:p>
      <w:pPr>
        <w:pStyle w:val="FirstParagraph"/>
      </w:pPr>
    </w:p>
    <w:bookmarkEnd w:id="30"/>
    <w:bookmarkEnd w:id="31"/>
    <w:bookmarkStart w:id="33" w:name="global-variables"/>
    <w:p>
      <w:pPr>
        <w:pStyle w:val="Heading3"/>
      </w:pPr>
      <w:r>
        <w:t xml:space="preserve">2.4. Global Variables</w:t>
      </w:r>
    </w:p>
    <w:bookmarkStart w:id="32" w:name="section"/>
    <w:p>
      <w:pPr>
        <w:pStyle w:val="Heading4"/>
      </w:pPr>
    </w:p>
    <w:p>
      <w:pPr>
        <w:pStyle w:val="FirstParagraph"/>
      </w:pPr>
      <w:r>
        <w:rPr>
          <w:bCs/>
          <w:b/>
        </w:rPr>
        <w:t xml:space="preserve">Declaration</w:t>
      </w:r>
    </w:p>
    <w:p>
      <w:pPr>
        <w:pStyle w:val="SourceCode"/>
      </w:pPr>
      <w:r>
        <w:rPr>
          <w:rStyle w:val="KeywordTok"/>
        </w:rPr>
        <w:t xml:space="preserve">extern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type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VariableName</w:t>
      </w:r>
      <w:r>
        <w:rPr>
          <w:rStyle w:val="OperatorTok"/>
        </w:rPr>
        <w:t xml:space="preserve">&gt;;</w:t>
      </w:r>
    </w:p>
    <w:p>
      <w:pPr>
        <w:pStyle w:val="FirstParagraph"/>
      </w:pPr>
      <w:r>
        <w:rPr>
          <w:bCs/>
          <w:b/>
        </w:rPr>
        <w:t xml:space="preserve">Description</w:t>
      </w:r>
      <w:r>
        <w:br/>
      </w:r>
      <w:r>
        <w:t xml:space="preserve">Explain the purpose of this global variable, what state it represents, and how it is used by the BriteTest framework.</w:t>
      </w:r>
    </w:p>
    <w:p>
      <w:pPr>
        <w:pStyle w:val="BodyText"/>
      </w:pPr>
      <w:r>
        <w:rPr>
          <w:bCs/>
          <w:b/>
        </w:rPr>
        <w:t xml:space="preserve">Usage Notes</w:t>
      </w:r>
      <w:r>
        <w:br/>
      </w:r>
      <w:r>
        <w:t xml:space="preserve">- Whether the variable is read-only or writable</w:t>
      </w:r>
      <w:r>
        <w:br/>
      </w:r>
      <w:r>
        <w:t xml:space="preserve">- Whether users are expected to modify it</w:t>
      </w:r>
      <w:r>
        <w:br/>
      </w:r>
      <w:r>
        <w:t xml:space="preserve">- Thread-safety considerations</w:t>
      </w:r>
      <w:r>
        <w:br/>
      </w:r>
      <w:r>
        <w:t xml:space="preserve">- Lifetime and initialization rules</w:t>
      </w:r>
    </w:p>
    <w:p>
      <w:pPr>
        <w:pStyle w:val="BodyText"/>
      </w:pPr>
      <w:r>
        <w:rPr>
          <w:bCs/>
          <w:b/>
        </w:rPr>
        <w:t xml:space="preserve">Example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(&lt;</w:t>
      </w:r>
      <w:r>
        <w:rPr>
          <w:rStyle w:val="NormalTok"/>
        </w:rPr>
        <w:t xml:space="preserve">VariableName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...)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...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</w:p>
    <w:bookmarkEnd w:id="32"/>
    <w:bookmarkEnd w:id="33"/>
    <w:bookmarkStart w:id="35" w:name="macros"/>
    <w:p>
      <w:pPr>
        <w:pStyle w:val="Heading3"/>
      </w:pPr>
      <w:r>
        <w:t xml:space="preserve">2.5. Macros</w:t>
      </w:r>
    </w:p>
    <w:bookmarkStart w:id="34" w:name="section-1"/>
    <w:p>
      <w:pPr>
        <w:pStyle w:val="Heading4"/>
      </w:pPr>
    </w:p>
    <w:p>
      <w:pPr>
        <w:pStyle w:val="FirstParagraph"/>
      </w:pPr>
      <w:r>
        <w:rPr>
          <w:bCs/>
          <w:b/>
        </w:rPr>
        <w:t xml:space="preserve">Definition</w:t>
      </w:r>
    </w:p>
    <w:p>
      <w:pPr>
        <w:pStyle w:val="SourceCode"/>
      </w:pPr>
      <w:r>
        <w:rPr>
          <w:rStyle w:val="PreprocessorTok"/>
        </w:rPr>
        <w:t xml:space="preserve">#define &lt;MACRO_NAME</w:t>
      </w:r>
      <w:r>
        <w:rPr>
          <w:rStyle w:val="OperatorTok"/>
        </w:rPr>
        <w:t xml:space="preserve">&gt;(...)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&lt;</w:t>
      </w:r>
      <w:r>
        <w:rPr>
          <w:rStyle w:val="PreprocessorTok"/>
        </w:rPr>
        <w:t xml:space="preserve">expansion</w:t>
      </w:r>
      <w:r>
        <w:rPr>
          <w:rStyle w:val="OperatorTok"/>
        </w:rPr>
        <w:t xml:space="preserve">&gt;</w:t>
      </w:r>
    </w:p>
    <w:p>
      <w:pPr>
        <w:pStyle w:val="FirstParagraph"/>
      </w:pPr>
      <w:r>
        <w:rPr>
          <w:bCs/>
          <w:b/>
        </w:rPr>
        <w:t xml:space="preserve">Description</w:t>
      </w:r>
      <w:r>
        <w:br/>
      </w:r>
      <w:r>
        <w:t xml:space="preserve">Describe the purpose of this macro, what it expands to conceptually, and how it fits into the BriteTest orchestration or test definition model.</w:t>
      </w:r>
    </w:p>
    <w:p>
      <w:pPr>
        <w:pStyle w:val="BodyText"/>
      </w:pPr>
      <w:r>
        <w:rPr>
          <w:bCs/>
          <w:b/>
        </w:rPr>
        <w:t xml:space="preserve">Parameters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&lt;param&gt;</w:t>
      </w:r>
      <w:r>
        <w:t xml:space="preserve"> </w:t>
      </w:r>
      <w:r>
        <w:t xml:space="preserve">– meaning and constraints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&lt;param&gt;</w:t>
      </w:r>
      <w:r>
        <w:t xml:space="preserve"> </w:t>
      </w:r>
      <w:r>
        <w:t xml:space="preserve">– meaning</w:t>
      </w:r>
    </w:p>
    <w:p>
      <w:pPr>
        <w:pStyle w:val="BodyText"/>
      </w:pPr>
      <w:r>
        <w:rPr>
          <w:bCs/>
          <w:b/>
        </w:rPr>
        <w:t xml:space="preserve">Usage Notes</w:t>
      </w:r>
      <w:r>
        <w:br/>
      </w:r>
      <w:r>
        <w:t xml:space="preserve">- Side effects</w:t>
      </w:r>
      <w:r>
        <w:br/>
      </w:r>
      <w:r>
        <w:t xml:space="preserve">- Evaluation rules (e.g., multiple evaluation hazards)</w:t>
      </w:r>
      <w:r>
        <w:br/>
      </w:r>
      <w:r>
        <w:t xml:space="preserve">- Whether arguments must be constant expressions</w:t>
      </w:r>
    </w:p>
    <w:p>
      <w:pPr>
        <w:pStyle w:val="BodyText"/>
      </w:pPr>
      <w:r>
        <w:rPr>
          <w:bCs/>
          <w:b/>
        </w:rPr>
        <w:t xml:space="preserve">Example</w:t>
      </w:r>
    </w:p>
    <w:p>
      <w:pPr>
        <w:pStyle w:val="SourceCode"/>
      </w:pPr>
      <w:r>
        <w:rPr>
          <w:rStyle w:val="OperatorTok"/>
        </w:rPr>
        <w:t xml:space="preserve">&lt;</w:t>
      </w:r>
      <w:r>
        <w:rPr>
          <w:rStyle w:val="NormalTok"/>
        </w:rPr>
        <w:t xml:space="preserve">MACRO_NAME</w:t>
      </w:r>
      <w:r>
        <w:rPr>
          <w:rStyle w:val="OperatorTok"/>
        </w:rPr>
        <w:t xml:space="preserve">&gt;(</w:t>
      </w:r>
      <w:r>
        <w:rPr>
          <w:rStyle w:val="NormalTok"/>
        </w:rPr>
        <w:t xml:space="preserve">arg1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arg2</w:t>
      </w:r>
      <w:r>
        <w:rPr>
          <w:rStyle w:val="OperatorTok"/>
        </w:rPr>
        <w:t xml:space="preserve">);</w:t>
      </w:r>
    </w:p>
    <w:p>
      <w:pPr>
        <w:pStyle w:val="FirstParagraph"/>
      </w:pPr>
    </w:p>
    <w:bookmarkEnd w:id="34"/>
    <w:bookmarkEnd w:id="35"/>
    <w:bookmarkStart w:id="37" w:name="functions"/>
    <w:p>
      <w:pPr>
        <w:pStyle w:val="Heading3"/>
      </w:pPr>
      <w:r>
        <w:t xml:space="preserve">2.6. Functions</w:t>
      </w:r>
    </w:p>
    <w:p>
      <w:pPr>
        <w:pStyle w:val="FirstParagraph"/>
      </w:pPr>
      <w:r>
        <w:t xml:space="preserve">The functions in this section may be</w:t>
      </w:r>
      <w:r>
        <w:t xml:space="preserve"> </w:t>
      </w:r>
      <w:r>
        <w:rPr>
          <w:rStyle w:val="VerbatimChar"/>
        </w:rPr>
        <w:t xml:space="preserve">static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static inline</w:t>
      </w:r>
      <w:r>
        <w:t xml:space="preserve">, or (by default)</w:t>
      </w:r>
      <w:r>
        <w:t xml:space="preserve"> </w:t>
      </w:r>
      <w:r>
        <w:rPr>
          <w:rStyle w:val="VerbatimChar"/>
        </w:rPr>
        <w:t xml:space="preserve">extern</w:t>
      </w:r>
      <w:r>
        <w:t xml:space="preserve">,</w:t>
      </w:r>
      <w:r>
        <w:t xml:space="preserve"> </w:t>
      </w:r>
      <w:r>
        <w:t xml:space="preserve">depending on how they are used within the framework.</w:t>
      </w:r>
    </w:p>
    <w:bookmarkStart w:id="36" w:name="section-2"/>
    <w:p>
      <w:pPr>
        <w:pStyle w:val="Heading4"/>
      </w:pPr>
      <w:r>
        <w:t xml:space="preserve">()</w:t>
      </w:r>
    </w:p>
    <w:p>
      <w:pPr>
        <w:pStyle w:val="FirstParagraph"/>
      </w:pPr>
      <w:r>
        <w:rPr>
          <w:bCs/>
          <w:b/>
        </w:rPr>
        <w:t xml:space="preserve">Signature</w:t>
      </w:r>
    </w:p>
    <w:p>
      <w:pPr>
        <w:pStyle w:val="SourceCode"/>
      </w:pPr>
      <w:r>
        <w:rPr>
          <w:rStyle w:val="OperatorTok"/>
        </w:rPr>
        <w:t xml:space="preserve">&lt;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type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FunctionName</w:t>
      </w:r>
      <w:r>
        <w:rPr>
          <w:rStyle w:val="OperatorTok"/>
        </w:rPr>
        <w:t xml:space="preserve">&gt;(&lt;</w:t>
      </w:r>
      <w:r>
        <w:rPr>
          <w:rStyle w:val="NormalTok"/>
        </w:rPr>
        <w:t xml:space="preserve">parameters</w:t>
      </w:r>
      <w:r>
        <w:rPr>
          <w:rStyle w:val="OperatorTok"/>
        </w:rPr>
        <w:t xml:space="preserve">&gt;);</w:t>
      </w:r>
    </w:p>
    <w:p>
      <w:pPr>
        <w:pStyle w:val="FirstParagraph"/>
      </w:pPr>
      <w:r>
        <w:rPr>
          <w:bCs/>
          <w:b/>
        </w:rPr>
        <w:t xml:space="preserve">Description</w:t>
      </w:r>
      <w:r>
        <w:br/>
      </w:r>
      <w:r>
        <w:t xml:space="preserve">Explain what this function does, when it is called, and how it interacts with the BriteTest runtime.</w:t>
      </w:r>
    </w:p>
    <w:p>
      <w:pPr>
        <w:pStyle w:val="BodyText"/>
      </w:pPr>
      <w:r>
        <w:rPr>
          <w:bCs/>
          <w:b/>
        </w:rPr>
        <w:t xml:space="preserve">Parameters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&lt;param-name&gt;</w:t>
      </w:r>
      <w:r>
        <w:t xml:space="preserve"> </w:t>
      </w:r>
      <w:r>
        <w:t xml:space="preserve">– meaning, constraints, ownership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&lt;param-name&gt;</w:t>
      </w:r>
      <w:r>
        <w:t xml:space="preserve"> </w:t>
      </w:r>
      <w:r>
        <w:t xml:space="preserve">– meaning</w:t>
      </w:r>
    </w:p>
    <w:p>
      <w:pPr>
        <w:pStyle w:val="BodyText"/>
      </w:pPr>
      <w:r>
        <w:rPr>
          <w:bCs/>
          <w:b/>
        </w:rPr>
        <w:t xml:space="preserve">Return Value</w:t>
      </w:r>
      <w:r>
        <w:br/>
      </w:r>
      <w:r>
        <w:t xml:space="preserve">Describe what is returned and under what conditions.</w:t>
      </w:r>
    </w:p>
    <w:p>
      <w:pPr>
        <w:pStyle w:val="BodyText"/>
      </w:pPr>
      <w:r>
        <w:rPr>
          <w:bCs/>
          <w:b/>
        </w:rPr>
        <w:t xml:space="preserve">Errors / Preconditions</w:t>
      </w:r>
      <w:r>
        <w:br/>
      </w:r>
      <w:r>
        <w:t xml:space="preserve">- Preconditions the caller must satisfy</w:t>
      </w:r>
      <w:r>
        <w:br/>
      </w:r>
      <w:r>
        <w:t xml:space="preserve">- Error conditions or undefined behavior cases</w:t>
      </w:r>
    </w:p>
    <w:p>
      <w:pPr>
        <w:pStyle w:val="BodyText"/>
      </w:pPr>
      <w:r>
        <w:rPr>
          <w:bCs/>
          <w:b/>
        </w:rPr>
        <w:t xml:space="preserve">Usage Notes</w:t>
      </w:r>
      <w:r>
        <w:br/>
      </w:r>
      <w:r>
        <w:t xml:space="preserve">- Thread safety</w:t>
      </w:r>
      <w:r>
        <w:br/>
      </w:r>
      <w:r>
        <w:t xml:space="preserve">- Lifetime rules</w:t>
      </w:r>
      <w:r>
        <w:br/>
      </w:r>
      <w:r>
        <w:t xml:space="preserve">- Interaction with other BriteTest components</w:t>
      </w:r>
    </w:p>
    <w:p>
      <w:pPr>
        <w:pStyle w:val="BodyText"/>
      </w:pPr>
      <w:r>
        <w:rPr>
          <w:bCs/>
          <w:b/>
        </w:rPr>
        <w:t xml:space="preserve">Example</w:t>
      </w:r>
    </w:p>
    <w:p>
      <w:pPr>
        <w:pStyle w:val="SourceCode"/>
      </w:pPr>
      <w:r>
        <w:rPr>
          <w:rStyle w:val="OperatorTok"/>
        </w:rPr>
        <w:t xml:space="preserve">&lt;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type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FunctionName</w:t>
      </w:r>
      <w:r>
        <w:rPr>
          <w:rStyle w:val="OperatorTok"/>
        </w:rPr>
        <w:t xml:space="preserve">&gt;(...);</w:t>
      </w:r>
    </w:p>
    <w:p>
      <w:pPr>
        <w:pStyle w:val="FirstParagraph"/>
      </w:pPr>
    </w:p>
    <w:bookmarkEnd w:id="36"/>
    <w:bookmarkEnd w:id="37"/>
    <w:bookmarkEnd w:id="38"/>
    <w:bookmarkStart w:id="46" w:name="symbols-defined-in-runnerapi.c"/>
    <w:p>
      <w:pPr>
        <w:pStyle w:val="Heading2"/>
      </w:pPr>
      <w:r>
        <w:t xml:space="preserve">3. Symbols Defined in</w:t>
      </w:r>
      <w:r>
        <w:t xml:space="preserve"> </w:t>
      </w:r>
      <w:r>
        <w:rPr>
          <w:rStyle w:val="VerbatimChar"/>
        </w:rPr>
        <w:t xml:space="preserve">runnerapi.c</w:t>
      </w:r>
    </w:p>
    <w:p>
      <w:pPr>
        <w:pStyle w:val="FirstParagraph"/>
      </w:pPr>
      <w:r>
        <w:t xml:space="preserve">These symbols are local to</w:t>
      </w:r>
      <w:r>
        <w:t xml:space="preserve"> </w:t>
      </w:r>
      <w:r>
        <w:rPr>
          <w:rStyle w:val="VerbatimChar"/>
        </w:rPr>
        <w:t xml:space="preserve">runnerapi.c</w:t>
      </w:r>
      <w:r>
        <w:t xml:space="preserve"> </w:t>
      </w:r>
      <w:r>
        <w:t xml:space="preserve">unless specified or defaulting to</w:t>
      </w:r>
      <w:r>
        <w:t xml:space="preserve"> </w:t>
      </w:r>
      <w:r>
        <w:t xml:space="preserve">extern. Symbols that are local do not have to conform to the internal naming</w:t>
      </w:r>
      <w:r>
        <w:t xml:space="preserve"> </w:t>
      </w:r>
      <w:r>
        <w:t xml:space="preserve">conventions and more natural names may be used.</w:t>
      </w:r>
    </w:p>
    <w:bookmarkStart w:id="39" w:name="types-1"/>
    <w:p>
      <w:pPr>
        <w:pStyle w:val="Heading3"/>
      </w:pPr>
      <w:r>
        <w:t xml:space="preserve">3.1. Types</w:t>
      </w:r>
    </w:p>
    <w:p>
      <w:pPr>
        <w:pStyle w:val="FirstParagraph"/>
      </w:pPr>
      <w:r>
        <w:t xml:space="preserve">(Placeholder)</w:t>
      </w:r>
    </w:p>
    <w:bookmarkEnd w:id="39"/>
    <w:bookmarkStart w:id="40" w:name="structs-1"/>
    <w:p>
      <w:pPr>
        <w:pStyle w:val="Heading3"/>
      </w:pPr>
      <w:r>
        <w:t xml:space="preserve">3.2. Structs</w:t>
      </w:r>
    </w:p>
    <w:p>
      <w:pPr>
        <w:pStyle w:val="FirstParagraph"/>
      </w:pPr>
      <w:r>
        <w:t xml:space="preserve">(Placeholder)</w:t>
      </w:r>
    </w:p>
    <w:bookmarkEnd w:id="40"/>
    <w:bookmarkStart w:id="41" w:name="enums-and-enum-values-1"/>
    <w:p>
      <w:pPr>
        <w:pStyle w:val="Heading3"/>
      </w:pPr>
      <w:r>
        <w:t xml:space="preserve">3.3. Enums and Enum Values</w:t>
      </w:r>
    </w:p>
    <w:p>
      <w:pPr>
        <w:pStyle w:val="FirstParagraph"/>
      </w:pPr>
      <w:r>
        <w:t xml:space="preserve">(Placeholder)</w:t>
      </w:r>
    </w:p>
    <w:bookmarkEnd w:id="41"/>
    <w:bookmarkStart w:id="42" w:name="global-variables-1"/>
    <w:p>
      <w:pPr>
        <w:pStyle w:val="Heading3"/>
      </w:pPr>
      <w:r>
        <w:t xml:space="preserve">3.4. Global Variables</w:t>
      </w:r>
    </w:p>
    <w:p>
      <w:pPr>
        <w:pStyle w:val="FirstParagraph"/>
      </w:pPr>
      <w:r>
        <w:t xml:space="preserve">(Placeholder)</w:t>
      </w:r>
    </w:p>
    <w:bookmarkEnd w:id="42"/>
    <w:bookmarkStart w:id="43" w:name="macros-1"/>
    <w:p>
      <w:pPr>
        <w:pStyle w:val="Heading3"/>
      </w:pPr>
      <w:r>
        <w:t xml:space="preserve">3.5. Macros</w:t>
      </w:r>
    </w:p>
    <w:p>
      <w:pPr>
        <w:pStyle w:val="FirstParagraph"/>
      </w:pPr>
      <w:r>
        <w:t xml:space="preserve">(Placeholder)</w:t>
      </w:r>
    </w:p>
    <w:bookmarkEnd w:id="43"/>
    <w:bookmarkStart w:id="44" w:name="Xc5fe81a17e4b8601f113b7a2d29e02470cadac9"/>
    <w:p>
      <w:pPr>
        <w:pStyle w:val="Heading3"/>
      </w:pPr>
      <w:r>
        <w:t xml:space="preserve">3.6. Functions (declared as a forward reference) in</w:t>
      </w:r>
      <w:r>
        <w:t xml:space="preserve"> </w:t>
      </w:r>
      <w:r>
        <w:rPr>
          <w:rStyle w:val="VerbatimChar"/>
        </w:rPr>
        <w:t xml:space="preserve">runnerapi.h</w:t>
      </w:r>
    </w:p>
    <w:p>
      <w:pPr>
        <w:pStyle w:val="FirstParagraph"/>
      </w:pPr>
      <w:r>
        <w:t xml:space="preserve">These functions are referenced internally by</w:t>
      </w:r>
      <w:r>
        <w:t xml:space="preserve"> </w:t>
      </w:r>
      <w:r>
        <w:rPr>
          <w:rStyle w:val="VerbatimChar"/>
        </w:rPr>
        <w:t xml:space="preserve">runnerapi.h</w:t>
      </w:r>
      <w:r>
        <w:t xml:space="preserve"> </w:t>
      </w:r>
      <w:r>
        <w:t xml:space="preserve">but defined in</w:t>
      </w:r>
      <w:r>
        <w:t xml:space="preserve"> </w:t>
      </w:r>
      <w:r>
        <w:rPr>
          <w:rStyle w:val="VerbatimChar"/>
        </w:rPr>
        <w:t xml:space="preserve">runnerapi.c</w:t>
      </w:r>
      <w:r>
        <w:t xml:space="preserve">.</w:t>
      </w:r>
      <w:r>
        <w:t xml:space="preserve"> </w:t>
      </w:r>
      <w:r>
        <w:t xml:space="preserve">These functions are (by default) extern and must conform to the internal name conventions.</w:t>
      </w:r>
    </w:p>
    <w:p>
      <w:pPr>
        <w:pStyle w:val="BodyText"/>
      </w:pPr>
      <w:r>
        <w:t xml:space="preserve">(Placeholder)</w:t>
      </w:r>
    </w:p>
    <w:bookmarkEnd w:id="44"/>
    <w:bookmarkStart w:id="45" w:name="functions-not-declared-in-runnerapi.h"/>
    <w:p>
      <w:pPr>
        <w:pStyle w:val="Heading3"/>
      </w:pPr>
      <w:r>
        <w:t xml:space="preserve">3.7. Functions (not declared in</w:t>
      </w:r>
      <w:r>
        <w:t xml:space="preserve"> </w:t>
      </w:r>
      <w:r>
        <w:rPr>
          <w:rStyle w:val="VerbatimChar"/>
        </w:rPr>
        <w:t xml:space="preserve">runnerapi.h</w:t>
      </w:r>
      <w:r>
        <w:t xml:space="preserve">)</w:t>
      </w:r>
    </w:p>
    <w:p>
      <w:pPr>
        <w:pStyle w:val="FirstParagraph"/>
      </w:pPr>
      <w:r>
        <w:t xml:space="preserve">These functions are local to</w:t>
      </w:r>
      <w:r>
        <w:t xml:space="preserve"> </w:t>
      </w:r>
      <w:r>
        <w:rPr>
          <w:rStyle w:val="VerbatimChar"/>
        </w:rPr>
        <w:t xml:space="preserve">runnerapi.c</w:t>
      </w:r>
      <w:r>
        <w:t xml:space="preserve"> </w:t>
      </w:r>
      <w:r>
        <w:t xml:space="preserve">and defined as static.</w:t>
      </w:r>
      <w:r>
        <w:t xml:space="preserve"> </w:t>
      </w:r>
      <w:r>
        <w:t xml:space="preserve">Since these are local, these names do not have to conform to the</w:t>
      </w:r>
      <w:r>
        <w:t xml:space="preserve"> </w:t>
      </w:r>
      <w:r>
        <w:t xml:space="preserve">internal name conventions and more natural names may be used.</w:t>
      </w:r>
    </w:p>
    <w:p>
      <w:pPr>
        <w:pStyle w:val="BodyText"/>
      </w:pPr>
      <w:r>
        <w:t xml:space="preserve">(Placeholder)</w:t>
      </w:r>
    </w:p>
    <w:p>
      <w:pPr>
        <w:pStyle w:val="BodyText"/>
      </w:pPr>
    </w:p>
    <w:bookmarkEnd w:id="45"/>
    <w:bookmarkEnd w:id="46"/>
    <w:bookmarkStart w:id="47" w:name="execution-engine"/>
    <w:p>
      <w:pPr>
        <w:pStyle w:val="Heading2"/>
      </w:pPr>
      <w:r>
        <w:t xml:space="preserve">4. Execution Engine</w:t>
      </w:r>
    </w:p>
    <w:p>
      <w:pPr>
        <w:pStyle w:val="FirstParagraph"/>
      </w:pPr>
      <w:r>
        <w:t xml:space="preserve">(Placeholder for execution helpers.)</w:t>
      </w:r>
    </w:p>
    <w:bookmarkEnd w:id="47"/>
    <w:bookmarkStart w:id="48" w:name="signal-handling"/>
    <w:p>
      <w:pPr>
        <w:pStyle w:val="Heading2"/>
      </w:pPr>
      <w:r>
        <w:t xml:space="preserve">5. Signal Handling</w:t>
      </w:r>
    </w:p>
    <w:p>
      <w:pPr>
        <w:pStyle w:val="FirstParagraph"/>
      </w:pPr>
      <w:r>
        <w:t xml:space="preserve">(Placeholder for signal guard helpers.)</w:t>
      </w:r>
    </w:p>
    <w:bookmarkEnd w:id="48"/>
    <w:bookmarkStart w:id="49" w:name="process-management"/>
    <w:p>
      <w:pPr>
        <w:pStyle w:val="Heading2"/>
      </w:pPr>
      <w:r>
        <w:t xml:space="preserve">6. Process Management</w:t>
      </w:r>
    </w:p>
    <w:p>
      <w:pPr>
        <w:pStyle w:val="FirstParagraph"/>
      </w:pPr>
      <w:r>
        <w:t xml:space="preserve">(Placeholder for fork/exec/wait logic.)</w:t>
      </w:r>
    </w:p>
    <w:bookmarkEnd w:id="49"/>
    <w:bookmarkStart w:id="50" w:name="thread-management"/>
    <w:p>
      <w:pPr>
        <w:pStyle w:val="Heading2"/>
      </w:pPr>
      <w:r>
        <w:t xml:space="preserve">7. Thread Management</w:t>
      </w:r>
    </w:p>
    <w:p>
      <w:pPr>
        <w:pStyle w:val="FirstParagraph"/>
      </w:pPr>
      <w:r>
        <w:t xml:space="preserve">(Placeholder for pthread logic.)</w:t>
      </w:r>
    </w:p>
    <w:bookmarkEnd w:id="50"/>
    <w:bookmarkStart w:id="51" w:name="file-and-path-support"/>
    <w:p>
      <w:pPr>
        <w:pStyle w:val="Heading2"/>
      </w:pPr>
      <w:r>
        <w:t xml:space="preserve">8. File and Path Support</w:t>
      </w:r>
    </w:p>
    <w:p>
      <w:pPr>
        <w:pStyle w:val="FirstParagraph"/>
      </w:pPr>
      <w:r>
        <w:t xml:space="preserve">(Placeholder for filesystem support helpers.)</w:t>
      </w:r>
    </w:p>
    <w:bookmarkEnd w:id="51"/>
    <w:bookmarkStart w:id="52" w:name="matching-and-comparison-support"/>
    <w:p>
      <w:pPr>
        <w:pStyle w:val="Heading2"/>
      </w:pPr>
      <w:r>
        <w:t xml:space="preserve">9. Matching and Comparison Support</w:t>
      </w:r>
    </w:p>
    <w:p>
      <w:pPr>
        <w:pStyle w:val="FirstParagraph"/>
      </w:pPr>
      <w:r>
        <w:t xml:space="preserve">(Placeholder for comparison support helpers.)</w:t>
      </w:r>
    </w:p>
    <w:bookmarkEnd w:id="52"/>
    <w:bookmarkStart w:id="53" w:name="environment-support"/>
    <w:p>
      <w:pPr>
        <w:pStyle w:val="Heading2"/>
      </w:pPr>
      <w:r>
        <w:t xml:space="preserve">10. Environment Support</w:t>
      </w:r>
    </w:p>
    <w:p>
      <w:pPr>
        <w:pStyle w:val="FirstParagraph"/>
      </w:pPr>
      <w:r>
        <w:t xml:space="preserve">(Placeholder for environment support helpers.)</w:t>
      </w:r>
    </w:p>
    <w:bookmarkEnd w:id="53"/>
    <w:bookmarkStart w:id="54" w:name="repository-layout"/>
    <w:p>
      <w:pPr>
        <w:pStyle w:val="Heading2"/>
      </w:pPr>
      <w:r>
        <w:t xml:space="preserve">Repository Layout</w:t>
      </w:r>
    </w:p>
    <w:p>
      <w:pPr>
        <w:pStyle w:val="FirstParagraph"/>
      </w:pPr>
      <w:r>
        <w:t xml:space="preserve">GitHub repository:</w:t>
      </w:r>
      <w:r>
        <w:t xml:space="preserve"> </w:t>
      </w:r>
      <w:r>
        <w:rPr>
          <w:rStyle w:val="VerbatimChar"/>
        </w:rPr>
        <w:t xml:space="preserve">paulsinclair51/BriteTest</w:t>
      </w:r>
    </w:p>
    <w:p>
      <w:pPr>
        <w:pStyle w:val="BodyText"/>
      </w:pPr>
      <w:r>
        <w:t xml:space="preserve">Repository layout (listing core files):</w:t>
      </w:r>
    </w:p>
    <w:p>
      <w:pPr>
        <w:pStyle w:val="SourceCode"/>
      </w:pPr>
      <w:r>
        <w:rPr>
          <w:rStyle w:val="VerbatimChar"/>
        </w:rPr>
        <w:t xml:space="preserve">BriteTest/</w:t>
      </w:r>
      <w:r>
        <w:br/>
      </w:r>
      <w:r>
        <w:rPr>
          <w:rStyle w:val="VerbatimChar"/>
        </w:rPr>
        <w:t xml:space="preserve">|- .github/</w:t>
      </w:r>
      <w:r>
        <w:br/>
      </w:r>
      <w:r>
        <w:rPr>
          <w:rStyle w:val="VerbatimChar"/>
        </w:rPr>
        <w:t xml:space="preserve">|  \- workflows/</w:t>
      </w:r>
      <w:r>
        <w:br/>
      </w:r>
      <w:r>
        <w:rPr>
          <w:rStyle w:val="VerbatimChar"/>
        </w:rPr>
        <w:t xml:space="preserve">|     \- ci.yml</w:t>
      </w:r>
      <w:r>
        <w:br/>
      </w:r>
      <w:r>
        <w:rPr>
          <w:rStyle w:val="VerbatimChar"/>
        </w:rPr>
        <w:t xml:space="preserve">|- README.md</w:t>
      </w:r>
      <w:r>
        <w:br/>
      </w:r>
      <w:r>
        <w:rPr>
          <w:rStyle w:val="VerbatimChar"/>
        </w:rPr>
        <w:t xml:space="preserve">|- LICENSE</w:t>
      </w:r>
      <w:r>
        <w:br/>
      </w:r>
      <w:r>
        <w:rPr>
          <w:rStyle w:val="VerbatimChar"/>
        </w:rPr>
        <w:t xml:space="preserve">|- Makefile</w:t>
      </w:r>
      <w:r>
        <w:br/>
      </w:r>
      <w:r>
        <w:rPr>
          <w:rStyle w:val="VerbatimChar"/>
        </w:rPr>
        <w:t xml:space="preserve">|- build_test_britetest.ps1</w:t>
      </w:r>
      <w:r>
        <w:br/>
      </w:r>
      <w:r>
        <w:rPr>
          <w:rStyle w:val="VerbatimChar"/>
        </w:rPr>
        <w:t xml:space="preserve">|- build/</w:t>
      </w:r>
      <w:r>
        <w:br/>
      </w:r>
      <w:r>
        <w:rPr>
          <w:rStyle w:val="VerbatimChar"/>
        </w:rPr>
        <w:t xml:space="preserve">|- docs/</w:t>
      </w:r>
      <w:r>
        <w:br/>
      </w:r>
      <w:r>
        <w:rPr>
          <w:rStyle w:val="VerbatimChar"/>
        </w:rPr>
        <w:t xml:space="preserve">|  \- BriteTest_API_User_Guide.md</w:t>
      </w:r>
      <w:r>
        <w:br/>
      </w:r>
      <w:r>
        <w:rPr>
          <w:rStyle w:val="VerbatimChar"/>
        </w:rPr>
        <w:t xml:space="preserve">|  \- BriteTest_API_Reference.md</w:t>
      </w:r>
      <w:r>
        <w:br/>
      </w:r>
      <w:r>
        <w:rPr>
          <w:rStyle w:val="VerbatimChar"/>
        </w:rPr>
        <w:t xml:space="preserve">|  \- Contributor_Guide.md</w:t>
      </w:r>
      <w:r>
        <w:br/>
      </w:r>
      <w:r>
        <w:rPr>
          <w:rStyle w:val="VerbatimChar"/>
        </w:rPr>
        <w:t xml:space="preserve">|  \- BriteTest_Framework_Guide.md</w:t>
      </w:r>
      <w:r>
        <w:br/>
      </w:r>
      <w:r>
        <w:rPr>
          <w:rStyle w:val="VerbatimChar"/>
        </w:rPr>
        <w:t xml:space="preserve">|  \- BriteTest_Framework_Reference.md</w:t>
      </w:r>
      <w:r>
        <w:br/>
      </w:r>
      <w:r>
        <w:rPr>
          <w:rStyle w:val="VerbatimChar"/>
        </w:rPr>
        <w:t xml:space="preserve">|- examples/</w:t>
      </w:r>
      <w:r>
        <w:br/>
      </w:r>
      <w:r>
        <w:rPr>
          <w:rStyle w:val="VerbatimChar"/>
        </w:rPr>
        <w:t xml:space="preserve">|- include/</w:t>
      </w:r>
      <w:r>
        <w:br/>
      </w:r>
      <w:r>
        <w:rPr>
          <w:rStyle w:val="VerbatimChar"/>
        </w:rPr>
        <w:t xml:space="preserve">|  \- runnerapi.h</w:t>
      </w:r>
      <w:r>
        <w:br/>
      </w:r>
      <w:r>
        <w:rPr>
          <w:rStyle w:val="VerbatimChar"/>
        </w:rPr>
        <w:t xml:space="preserve">|- reports/</w:t>
      </w:r>
      <w:r>
        <w:br/>
      </w:r>
      <w:r>
        <w:rPr>
          <w:rStyle w:val="VerbatimChar"/>
        </w:rPr>
        <w:t xml:space="preserve">|  |- test_report-I.txt</w:t>
      </w:r>
      <w:r>
        <w:br/>
      </w:r>
      <w:r>
        <w:rPr>
          <w:rStyle w:val="VerbatimChar"/>
        </w:rPr>
        <w:t xml:space="preserve">|  \- test_report.txt</w:t>
      </w:r>
      <w:r>
        <w:br/>
      </w:r>
      <w:r>
        <w:rPr>
          <w:rStyle w:val="VerbatimChar"/>
        </w:rPr>
        <w:t xml:space="preserve">|- scripts/</w:t>
      </w:r>
      <w:r>
        <w:br/>
      </w:r>
      <w:r>
        <w:rPr>
          <w:rStyle w:val="VerbatimChar"/>
        </w:rPr>
        <w:t xml:space="preserve">|- src/</w:t>
      </w:r>
      <w:r>
        <w:br/>
      </w:r>
      <w:r>
        <w:rPr>
          <w:rStyle w:val="VerbatimChar"/>
        </w:rPr>
        <w:t xml:space="preserve">|  \- runnerapi.c</w:t>
      </w:r>
      <w:r>
        <w:br/>
      </w:r>
      <w:r>
        <w:rPr>
          <w:rStyle w:val="VerbatimChar"/>
        </w:rPr>
        <w:t xml:space="preserve">|- tests/</w:t>
      </w:r>
      <w:r>
        <w:br/>
      </w:r>
      <w:r>
        <w:rPr>
          <w:rStyle w:val="VerbatimChar"/>
        </w:rPr>
        <w:t xml:space="preserve">|  |- test_runner.c</w:t>
      </w:r>
      <w:r>
        <w:br/>
      </w:r>
      <w:r>
        <w:rPr>
          <w:rStyle w:val="VerbatimChar"/>
        </w:rPr>
        <w:t xml:space="preserve">|  |- orchestrator_tests.c</w:t>
      </w:r>
      <w:r>
        <w:br/>
      </w:r>
      <w:r>
        <w:rPr>
          <w:rStyle w:val="VerbatimChar"/>
        </w:rPr>
        <w:t xml:space="preserve">|  |- guard1_tests.c</w:t>
      </w:r>
      <w:r>
        <w:br/>
      </w:r>
      <w:r>
        <w:rPr>
          <w:rStyle w:val="VerbatimChar"/>
        </w:rPr>
        <w:t xml:space="preserve">|  \- guard2_tests.c</w:t>
      </w:r>
    </w:p>
    <w:p>
      <w:pPr>
        <w:pStyle w:val="FirstParagraph"/>
      </w:pPr>
      <w:r>
        <w:t xml:space="preserve">Use this as a reference when adapting BriteTest into your own project structure.</w:t>
      </w:r>
    </w:p>
    <w:bookmarkEnd w:id="54"/>
    <w:bookmarkStart w:id="56" w:name="glossary"/>
    <w:p>
      <w:pPr>
        <w:pStyle w:val="Heading2"/>
      </w:pPr>
      <w:r>
        <w:t xml:space="preserve">Glossary</w:t>
      </w:r>
    </w:p>
    <w:bookmarkStart w:id="55" w:name="framework-specific-terms"/>
    <w:p>
      <w:pPr>
        <w:pStyle w:val="Heading3"/>
      </w:pPr>
      <w:r>
        <w:t xml:space="preserve">Framework-Specific Terms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Orchestrator Lifecycle</w:t>
      </w:r>
      <w:r>
        <w:t xml:space="preserve">: The sequence of initialization, group execution,</w:t>
      </w:r>
      <w:r>
        <w:t xml:space="preserve"> </w:t>
      </w:r>
      <w:r>
        <w:t xml:space="preserve">test execution, and report finalization performed by the BriteTest framework.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Guard Behavior</w:t>
      </w:r>
      <w:r>
        <w:t xml:space="preserve">: The mechanism BriteTest uses to catch runtime faults</w:t>
      </w:r>
      <w:r>
        <w:t xml:space="preserve"> </w:t>
      </w:r>
      <w:r>
        <w:t xml:space="preserve">(e.g., segmentation faults) and continue executing remaining tests.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Isolation Semantics</w:t>
      </w:r>
      <w:r>
        <w:t xml:space="preserve">: The rules governing how tests and groups run in</w:t>
      </w:r>
      <w:r>
        <w:t xml:space="preserve"> </w:t>
      </w:r>
      <w:r>
        <w:t xml:space="preserve">threads or processes to prevent interference and ensure fault containment.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Concurrency Model</w:t>
      </w:r>
      <w:r>
        <w:t xml:space="preserve">: The framework’s rules for running tests concurrently</w:t>
      </w:r>
      <w:r>
        <w:t xml:space="preserve"> </w:t>
      </w:r>
      <w:r>
        <w:t xml:space="preserve">within</w:t>
      </w:r>
      <w:r>
        <w:t xml:space="preserve"> </w:t>
      </w:r>
      <w:r>
        <w:rPr>
          <w:rStyle w:val="VerbatimChar"/>
        </w:rPr>
        <w:t xml:space="preserve">RA_BEGIN_CONCURRENT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RA_END_CONCURRENT</w:t>
      </w:r>
      <w:r>
        <w:t xml:space="preserve"> </w:t>
      </w:r>
      <w:r>
        <w:t xml:space="preserve">blocks.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Execution Phases</w:t>
      </w:r>
      <w:r>
        <w:t xml:space="preserve">: The internal stages of orchestrator operation, including</w:t>
      </w:r>
      <w:r>
        <w:t xml:space="preserve"> </w:t>
      </w:r>
      <w:r>
        <w:t xml:space="preserve">initialization, argument parsing, group dispatch, test dispatch, and report</w:t>
      </w:r>
      <w:r>
        <w:t xml:space="preserve"> </w:t>
      </w:r>
      <w:r>
        <w:t xml:space="preserve">writing.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Fault Handling Model</w:t>
      </w:r>
      <w:r>
        <w:t xml:space="preserve">: The framework’s strategy for capturing and reporting</w:t>
      </w:r>
      <w:r>
        <w:t xml:space="preserve"> </w:t>
      </w:r>
      <w:r>
        <w:t xml:space="preserve">faults without terminating the entire test run.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Control File Promotion</w:t>
      </w:r>
      <w:r>
        <w:t xml:space="preserve">: The process of replacing an outdated control file</w:t>
      </w:r>
      <w:r>
        <w:t xml:space="preserve"> </w:t>
      </w:r>
      <w:r>
        <w:t xml:space="preserve">with a newly generated file when differences are expected or intentional.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Nested Group Behavior</w:t>
      </w:r>
      <w:r>
        <w:t xml:space="preserve">: The rules governing how groups may contain other</w:t>
      </w:r>
      <w:r>
        <w:t xml:space="preserve"> </w:t>
      </w:r>
      <w:r>
        <w:t xml:space="preserve">groups and how isolation and concurrency propagate through nested structures.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Concurrent Block Behavior</w:t>
      </w:r>
      <w:r>
        <w:t xml:space="preserve">: The semantics of executing multiple tests in</w:t>
      </w:r>
      <w:r>
        <w:t xml:space="preserve"> </w:t>
      </w:r>
      <w:r>
        <w:t xml:space="preserve">parallel within a concurrent block, including ordering and isolation rules.</w:t>
      </w:r>
    </w:p>
    <w:bookmarkEnd w:id="55"/>
    <w:bookmarkEnd w:id="5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Runner_Internal_Reference</dc:title>
  <dc:creator/>
  <cp:keywords/>
  <dcterms:created xsi:type="dcterms:W3CDTF">2026-07-02T04:47:05Z</dcterms:created>
  <dcterms:modified xsi:type="dcterms:W3CDTF">2026-07-02T04:47:05Z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