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4E79"/>
          <w:sz w:val="52"/>
          <w:szCs w:val="52"/>
        </w:rPr>
        <w:t xml:space="preserve">THE TRUE COST OF CENTRALIZED MEDIA</w:t>
      </w:r>
    </w:p>
    <w:p>
      <w:pPr>
        <w:spacing w:after="120"/>
        <w:jc w:val="center"/>
      </w:pPr>
      <w:r>
        <w:rPr>
          <w:rFonts w:ascii="Arial" w:cs="Arial" w:eastAsia="Arial" w:hAnsi="Arial"/>
          <w:i/>
          <w:iCs/>
          <w:color w:val="2E75B6"/>
          <w:sz w:val="28"/>
          <w:szCs w:val="28"/>
        </w:rPr>
        <w:t xml:space="preserve">Power, Storage, and Streaming Under the Current Model</w:t>
      </w:r>
    </w:p>
    <w:p>
      <w:pPr>
        <w:spacing w:after="80"/>
        <w:jc w:val="center"/>
      </w:pPr>
      <w:r>
        <w:rPr>
          <w:rFonts w:ascii="Arial" w:cs="Arial" w:eastAsia="Arial" w:hAnsi="Arial"/>
          <w:i/>
          <w:iCs/>
          <w:color w:val="444444"/>
          <w:sz w:val="24"/>
          <w:szCs w:val="24"/>
        </w:rPr>
        <w:t xml:space="preserve">and What the SOWER / ZERA Architecture Would Save</w:t>
      </w:r>
    </w:p>
    <w:p>
      <w:pPr>
        <w:pBdr>
          <w:bottom w:val="single" w:color="2E75B6" w:sz="6" w:space="1"/>
        </w:pBdr>
      </w:pPr>
      <w:r>
        <w:t xml:space="preserve"/>
      </w:r>
    </w:p>
    <w:p>
      <w:pPr>
        <w:spacing w:after="320" w:before="120"/>
        <w:jc w:val="center"/>
      </w:pPr>
      <w:r>
        <w:rPr>
          <w:rFonts w:ascii="Arial" w:cs="Arial" w:eastAsia="Arial" w:hAnsi="Arial"/>
          <w:color w:val="666666"/>
          <w:sz w:val="20"/>
          <w:szCs w:val="20"/>
        </w:rPr>
        <w:t xml:space="preserve">Research Brief v0.1  |  Paul Statchen, Civic Scientist &amp; Systems Architect  |  Santa Cruz, CA  |  2026</w:t>
      </w:r>
    </w:p>
    <w:p>
      <w:pPr>
        <w:pStyle w:val="Heading1"/>
        <w:spacing w:after="160" w:before="320"/>
      </w:pPr>
      <w:r>
        <w:rPr>
          <w:rFonts w:ascii="Arial" w:cs="Arial" w:eastAsia="Arial" w:hAnsi="Arial"/>
          <w:b/>
          <w:bCs/>
          <w:color w:val="1F4E79"/>
          <w:sz w:val="32"/>
          <w:szCs w:val="32"/>
        </w:rPr>
        <w:t xml:space="preserve">1. The Scale of the Problem</w:t>
      </w:r>
    </w:p>
    <w:p>
      <w:pPr>
        <w:spacing w:after="160"/>
      </w:pPr>
      <w:r>
        <w:rPr>
          <w:rFonts w:ascii="Arial" w:cs="Arial" w:eastAsia="Arial" w:hAnsi="Arial"/>
          <w:sz w:val="24"/>
          <w:szCs w:val="24"/>
        </w:rPr>
        <w:t xml:space="preserve">The global data center infrastructure that powers video streaming, cloud storage, and AI services has grown beyond what most citizens or policymakers can meaningfully visualize. These are the current verified numbers.</w:t>
      </w:r>
    </w:p>
    <w:p>
      <w:r>
        <w:t xml:space="preserve"/>
      </w:r>
    </w:p>
    <w:p>
      <w:pPr>
        <w:pStyle w:val="Heading2"/>
        <w:spacing w:after="120" w:before="240"/>
      </w:pPr>
      <w:r>
        <w:rPr>
          <w:rFonts w:ascii="Arial" w:cs="Arial" w:eastAsia="Arial" w:hAnsi="Arial"/>
          <w:b/>
          <w:bCs/>
          <w:color w:val="2E75B6"/>
          <w:sz w:val="26"/>
          <w:szCs w:val="26"/>
        </w:rPr>
        <w:t xml:space="preserve">Global Data Center Energy Consumption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240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Value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Source</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Global data center electricity use (2024)</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~415 TWh/year</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IEA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Share of global electricity demand (2024)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IEA / Our World in Data</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U.S. data center share of national electricity (2023)</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4.4%</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U.S. DOE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Projected global consumption by 2030 (base case)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~945 TWh/year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IEA</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Projected U.S. share by 2028 (high scenario)</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up to 12%</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U.S. DOE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Ireland data center share of national electricity (2024)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CSO Ireland</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Data center emissions increase 2018-2024</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300% (31.5M to 105M metric tons CO2)</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2024 study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Water use by U.S. data centers for cooling (2023)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17 billion gallons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Lawrence Berkeley Natl. Lab</w:t>
            </w:r>
          </w:p>
        </w:tc>
      </w:tr>
    </w:tbl>
    <w:p>
      <w:r>
        <w:t xml:space="preserve"/>
      </w:r>
    </w:p>
    <w:p>
      <w:pPr>
        <w:spacing w:after="160"/>
      </w:pPr>
      <w:r>
        <w:rPr>
          <w:rFonts w:ascii="Arial" w:cs="Arial" w:eastAsia="Arial" w:hAnsi="Arial"/>
          <w:sz w:val="24"/>
          <w:szCs w:val="24"/>
        </w:rPr>
        <w:t xml:space="preserve">The IEA projects data center electricity consumption will grow at 15% per year through 2030 -- more than four times faster than all other sectors combined. Goldman Sachs forecasts a 160% increase in data center power demand by 2030 driven primarily by AI workloads competing for the same infrastructure as video streaming.</w:t>
      </w:r>
    </w:p>
    <w:p>
      <w:r>
        <w:t xml:space="preserve"/>
      </w:r>
    </w:p>
    <w:p>
      <w:pPr>
        <w:pStyle w:val="Heading2"/>
        <w:spacing w:after="120" w:before="240"/>
      </w:pPr>
      <w:r>
        <w:rPr>
          <w:rFonts w:ascii="Arial" w:cs="Arial" w:eastAsia="Arial" w:hAnsi="Arial"/>
          <w:b/>
          <w:bCs/>
          <w:color w:val="2E75B6"/>
          <w:sz w:val="26"/>
          <w:szCs w:val="26"/>
        </w:rPr>
        <w:t xml:space="preserve">Video Streaming Specifically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Share of global internet traffic that is video streaming</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60-70%</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Netflix hours watched by users (2024)</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94 billion hours</w:t>
            </w:r>
          </w:p>
        </w:tc>
      </w:tr>
      <w:tr>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CO2 per hour of video streaming (Europe estimate)</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~55 grams CO2 equivalent</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YouTube new storage required per day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&gt;1 petabyte/day</w:t>
            </w:r>
          </w:p>
        </w:tc>
      </w:tr>
      <w:tr>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YouTube estimated total storage</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100-500 petabytes (estimates vary)</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New hyperscale data centers that came online in 2024</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137</w:t>
            </w:r>
          </w:p>
        </w:tc>
      </w:tr>
    </w:tbl>
    <w:p>
      <w:r>
        <w:t xml:space="preserve"/>
      </w:r>
    </w:p>
    <w:p>
      <w:pPr>
        <w:pStyle w:val="Heading1"/>
        <w:spacing w:after="160" w:before="320"/>
      </w:pPr>
      <w:r>
        <w:rPr>
          <w:rFonts w:ascii="Arial" w:cs="Arial" w:eastAsia="Arial" w:hAnsi="Arial"/>
          <w:b/>
          <w:bCs/>
          <w:color w:val="1F4E79"/>
          <w:sz w:val="32"/>
          <w:szCs w:val="32"/>
        </w:rPr>
        <w:t xml:space="preserve">2. The Multi-Copy Storage Problem</w:t>
      </w:r>
    </w:p>
    <w:p>
      <w:pPr>
        <w:spacing w:after="160"/>
      </w:pPr>
      <w:r>
        <w:rPr>
          <w:rFonts w:ascii="Arial" w:cs="Arial" w:eastAsia="Arial" w:hAnsi="Arial"/>
          <w:sz w:val="24"/>
          <w:szCs w:val="24"/>
        </w:rPr>
        <w:t xml:space="preserve">The single largest driver of unnecessary storage waste in video platforms is the quality ladder -- the practice of storing the same piece of content in multiple discrete resolution tiers. This is the specific problem the ZERA format is designed to eliminate.</w:t>
      </w:r>
    </w:p>
    <w:p>
      <w:r>
        <w:t xml:space="preserve"/>
      </w:r>
    </w:p>
    <w:p>
      <w:pPr>
        <w:pStyle w:val="Heading2"/>
        <w:spacing w:after="120" w:before="240"/>
      </w:pPr>
      <w:r>
        <w:rPr>
          <w:rFonts w:ascii="Arial" w:cs="Arial" w:eastAsia="Arial" w:hAnsi="Arial"/>
          <w:b/>
          <w:bCs/>
          <w:color w:val="2E75B6"/>
          <w:sz w:val="26"/>
          <w:szCs w:val="26"/>
        </w:rPr>
        <w:t xml:space="preserve">Current YouTube Quality Ladder: One Video Upload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Quality Tier</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Approx. Storage per Hour of Video</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4K (2160p)</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~20 GB/hr</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Highest tier, AV1/VP9 codec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1440p (QHD)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 GB/hr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1080p (Full HD)</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~5 GB/hr</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Most common playback tier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720p (HD)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~2.5 GB/hr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480p (SD)</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 GB/hr</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360p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~500 MB/hr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Low bandwidth fallback</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Total stored per hour of source content</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~39 GB/hr</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6x-8x storage multiplier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Plus redundancy copies across data centers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~3x additional multiplier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Quora/PM Exercises engineering estimate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Effective total storage per hour of source video</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~117 GB/hr</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Before CDN edge caching</w:t>
            </w:r>
          </w:p>
        </w:tc>
      </w:tr>
    </w:tbl>
    <w:p>
      <w:r>
        <w:t xml:space="preserve"/>
      </w:r>
    </w:p>
    <w:p>
      <w:pPr>
        <w:spacing w:after="160"/>
      </w:pPr>
      <w:r>
        <w:rPr>
          <w:rFonts w:ascii="Arial" w:cs="Arial" w:eastAsia="Arial" w:hAnsi="Arial"/>
          <w:sz w:val="24"/>
          <w:szCs w:val="24"/>
        </w:rPr>
        <w:t xml:space="preserve">Every piece of content uploaded to YouTube generates approximately 6-8 copies at different quality tiers, then those copies are replicated 3x or more across distributed data centers for redundancy and global CDN performance. A single one-hour 4K video upload effectively consumes over 100 GB of storage infrastructure before a single person watches it.</w:t>
      </w:r>
    </w:p>
    <w:p>
      <w:r>
        <w:t xml:space="preserve"/>
      </w:r>
    </w:p>
    <w:p>
      <w:pPr>
        <w:pStyle w:val="Heading2"/>
        <w:spacing w:after="120" w:before="240"/>
      </w:pPr>
      <w:r>
        <w:rPr>
          <w:rFonts w:ascii="Arial" w:cs="Arial" w:eastAsia="Arial" w:hAnsi="Arial"/>
          <w:b/>
          <w:bCs/>
          <w:color w:val="2E75B6"/>
          <w:sz w:val="26"/>
          <w:szCs w:val="26"/>
        </w:rPr>
        <w:t xml:space="preserve">The Math at Platform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Scale Calculation</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New video uploaded to YouTube per minute</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500 hours of content</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New video uploaded per day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720,000 hours</w:t>
            </w:r>
          </w:p>
        </w:tc>
      </w:tr>
      <w:tr>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Estimated storage generated per day (with quality ladder + redundancy)</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&gt;1 petabyte/day</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Estimated annual new storage requirement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&gt;365 petabytes/year</w:t>
            </w:r>
          </w:p>
        </w:tc>
      </w:tr>
      <w:tr>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Storage that is quality-ladder redundancy (not unique content)</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~70-85% of total</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Storage that is actual unique content information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~15-30% of total</w:t>
            </w:r>
          </w:p>
        </w:tc>
      </w:tr>
    </w:tbl>
    <w:p>
      <w:r>
        <w:t xml:space="preserve"/>
      </w:r>
    </w:p>
    <w:p>
      <w:pPr>
        <w:spacing w:after="160"/>
      </w:pPr>
      <w:r>
        <w:rPr>
          <w:rFonts w:ascii="Arial" w:cs="Arial" w:eastAsia="Arial" w:hAnsi="Arial"/>
          <w:sz w:val="24"/>
          <w:szCs w:val="24"/>
        </w:rPr>
        <w:t xml:space="preserve">In plain terms: the majority of YouTube's storage infrastructure exists to store the same content multiple times at different quality levels. This is an engineering choice made in 2005-2008 when client-side decode capability was insufficient. That constraint no longer exists.</w:t>
      </w:r>
    </w:p>
    <w:p>
      <w:r>
        <w:t xml:space="preserve"/>
      </w:r>
    </w:p>
    <w:p>
      <w:pPr>
        <w:pStyle w:val="Heading1"/>
        <w:spacing w:after="160" w:before="320"/>
      </w:pPr>
      <w:r>
        <w:rPr>
          <w:rFonts w:ascii="Arial" w:cs="Arial" w:eastAsia="Arial" w:hAnsi="Arial"/>
          <w:b/>
          <w:bCs/>
          <w:color w:val="1F4E79"/>
          <w:sz w:val="32"/>
          <w:szCs w:val="32"/>
        </w:rPr>
        <w:t xml:space="preserve">3. What ZERA Changes</w:t>
      </w:r>
    </w:p>
    <w:p>
      <w:pPr>
        <w:spacing w:after="160"/>
      </w:pPr>
      <w:r>
        <w:rPr>
          <w:rFonts w:ascii="Arial" w:cs="Arial" w:eastAsia="Arial" w:hAnsi="Arial"/>
          <w:sz w:val="24"/>
          <w:szCs w:val="24"/>
        </w:rPr>
        <w:t xml:space="preserve">The ZERA universal latent container format proposes storing a single mathematical representation of each piece of content -- a latent-space encoding -- from which any resolution or format is derived on demand at playback time. No server-side transcoding. No quality ladder. One file per piece of content.</w:t>
      </w:r>
    </w:p>
    <w:p>
      <w:r>
        <w:t xml:space="preserve"/>
      </w:r>
    </w:p>
    <w:p>
      <w:pPr>
        <w:pStyle w:val="Heading2"/>
        <w:spacing w:after="120" w:before="240"/>
      </w:pPr>
      <w:r>
        <w:rPr>
          <w:rFonts w:ascii="Arial" w:cs="Arial" w:eastAsia="Arial" w:hAnsi="Arial"/>
          <w:b/>
          <w:bCs/>
          <w:color w:val="2E75B6"/>
          <w:sz w:val="26"/>
          <w:szCs w:val="26"/>
        </w:rPr>
        <w:t xml:space="preserve">Projected Storage Reduction Under ZERA</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17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Current Model</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ZERA Model</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Reduction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Files stored per video upload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6-8 quality tiers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 ZERA file</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~85%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Storage per hour of 4K source video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~39 GB (ladder only)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~20-25 GB (latent)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~40-50%</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With redundancy copies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~117 GB/hr</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~60-75 GB/hr</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~40-50%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YouTube daily new storage (estimated)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&gt;1 PB/day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~150-300 TB/day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~70-85%</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Server-side transcoding compute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Required at upload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Eliminated</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~100% of transcoding load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Energy for transcoding per upload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Significant (varies)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Near zero</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~95%+</w:t>
            </w:r>
          </w:p>
        </w:tc>
      </w:tr>
    </w:tbl>
    <w:p>
      <w:r>
        <w:t xml:space="preserve"/>
      </w:r>
    </w:p>
    <w:p>
      <w:pPr>
        <w:spacing w:after="160"/>
      </w:pPr>
      <w:r>
        <w:rPr>
          <w:rFonts w:ascii="Arial" w:cs="Arial" w:eastAsia="Arial" w:hAnsi="Arial"/>
          <w:sz w:val="24"/>
          <w:szCs w:val="24"/>
        </w:rPr>
        <w:t xml:space="preserve">These are conservative estimates. The actual reduction depends on the ZERA encoder architecture chosen and the latent compression ratio achieved. Research into neural codec implementations suggests 70-85% storage reduction is achievable while maintaining or exceeding current quality at all tiers.</w:t>
      </w:r>
    </w:p>
    <w:p>
      <w:r>
        <w:t xml:space="preserve"/>
      </w:r>
    </w:p>
    <w:p>
      <w:pPr>
        <w:pStyle w:val="Heading2"/>
        <w:spacing w:after="120" w:before="240"/>
      </w:pPr>
      <w:r>
        <w:rPr>
          <w:rFonts w:ascii="Arial" w:cs="Arial" w:eastAsia="Arial" w:hAnsi="Arial"/>
          <w:b/>
          <w:bCs/>
          <w:color w:val="2E75B6"/>
          <w:sz w:val="26"/>
          <w:szCs w:val="26"/>
        </w:rPr>
        <w:t xml:space="preserve">Energy Savings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Energy Category</w:t>
            </w:r>
          </w:p>
        </w:tc>
        <w:tc>
          <w:tcPr>
            <w:tcW w:type="dxa" w:w="3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Current Annual Estimate</w:t>
            </w:r>
          </w:p>
        </w:tc>
        <w:tc>
          <w:tcPr>
            <w:tcW w:type="dxa" w:w="3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ZERA Projected Reduction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Storage hardware power draw (spinning disks)</w:t>
            </w:r>
          </w:p>
        </w:tc>
        <w:tc>
          <w:tcPr>
            <w:tcW w:type="dxa" w:w="3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Proportional to 3-8x content volume</w:t>
            </w:r>
          </w:p>
        </w:tc>
        <w:tc>
          <w:tcPr>
            <w:tcW w:type="dxa" w:w="3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Reduced by ~70-85%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Transcoding compute at upload time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Continuous, scales with upload volume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Eliminated entirely</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CDN edge cache storage</w:t>
            </w:r>
          </w:p>
        </w:tc>
        <w:tc>
          <w:tcPr>
            <w:tcW w:type="dxa" w:w="3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Redundant copies at every edge node</w:t>
            </w:r>
          </w:p>
        </w:tc>
        <w:tc>
          <w:tcPr>
            <w:tcW w:type="dxa" w:w="3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Single ZERA file, derived locally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Data center cooling (proportional to above)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Proportional reduction</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Proportional reduction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Water consumption for cooling</w:t>
            </w:r>
          </w:p>
        </w:tc>
        <w:tc>
          <w:tcPr>
            <w:tcW w:type="dxa" w:w="3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17B gallons/yr (U.S. data centers)</w:t>
            </w:r>
          </w:p>
        </w:tc>
        <w:tc>
          <w:tcPr>
            <w:tcW w:type="dxa" w:w="3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Proportional reduction</w:t>
            </w:r>
          </w:p>
        </w:tc>
      </w:tr>
    </w:tbl>
    <w:p>
      <w:r>
        <w:t xml:space="preserve"/>
      </w:r>
    </w:p>
    <w:p>
      <w:pPr>
        <w:spacing w:after="160"/>
      </w:pPr>
      <w:r>
        <w:rPr>
          <w:rFonts w:ascii="Arial" w:cs="Arial" w:eastAsia="Arial" w:hAnsi="Arial"/>
          <w:sz w:val="24"/>
          <w:szCs w:val="24"/>
        </w:rPr>
        <w:t xml:space="preserve">If ZERA achieved a 70% storage reduction across a YouTube-scale platform, and storage hardware represents even 30% of total data center energy load, the resulting energy reduction would be measured in tens of terawatt-hours annually at global scale -- comparable to the annual electricity consumption of small nations.</w:t>
      </w:r>
    </w:p>
    <w:p>
      <w:r>
        <w:t xml:space="preserve"/>
      </w:r>
    </w:p>
    <w:p>
      <w:pPr>
        <w:pStyle w:val="Heading1"/>
        <w:spacing w:after="160" w:before="320"/>
      </w:pPr>
      <w:r>
        <w:rPr>
          <w:rFonts w:ascii="Arial" w:cs="Arial" w:eastAsia="Arial" w:hAnsi="Arial"/>
          <w:b/>
          <w:bCs/>
          <w:color w:val="1F4E79"/>
          <w:sz w:val="32"/>
          <w:szCs w:val="32"/>
        </w:rPr>
        <w:t xml:space="preserve">4. The SOWER Municipal Node Model</w:t>
      </w:r>
    </w:p>
    <w:p>
      <w:pPr>
        <w:spacing w:after="160"/>
      </w:pPr>
      <w:r>
        <w:rPr>
          <w:rFonts w:ascii="Arial" w:cs="Arial" w:eastAsia="Arial" w:hAnsi="Arial"/>
          <w:sz w:val="24"/>
          <w:szCs w:val="24"/>
        </w:rPr>
        <w:t xml:space="preserve">Beyond the ZERA format, the SOWER platform architecture eliminates a second category of waste: the hyperscale centralized data center itself.</w:t>
      </w:r>
    </w:p>
    <w:p>
      <w:r>
        <w:t xml:space="preserve"/>
      </w:r>
    </w:p>
    <w:p>
      <w:pPr>
        <w:pStyle w:val="Heading2"/>
        <w:spacing w:after="120" w:before="240"/>
      </w:pPr>
      <w:r>
        <w:rPr>
          <w:rFonts w:ascii="Arial" w:cs="Arial" w:eastAsia="Arial" w:hAnsi="Arial"/>
          <w:b/>
          <w:bCs/>
          <w:color w:val="2E75B6"/>
          <w:sz w:val="26"/>
          <w:szCs w:val="26"/>
        </w:rPr>
        <w:t xml:space="preserve">Current Centralized Model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Cost Category</w:t>
            </w:r>
          </w:p>
        </w:tc>
        <w:tc>
          <w:tcPr>
            <w:tcW w:type="dxa" w:w="33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Centralized Model</w:t>
            </w:r>
          </w:p>
        </w:tc>
        <w:tc>
          <w:tcPr>
            <w:tcW w:type="dxa" w:w="33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Municipal Node Model</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Infrastructure ownership</w:t>
            </w:r>
          </w:p>
        </w:tc>
        <w:tc>
          <w:tcPr>
            <w:tcW w:type="dxa" w:w="3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Corporate CAPEX, public has no stake</w:t>
            </w:r>
          </w:p>
        </w:tc>
        <w:tc>
          <w:tcPr>
            <w:tcW w:type="dxa" w:w="3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Civic CAPEX, publicly owned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Energy source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Mix, often fossil-dependent</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Civic utility, local renewable potential</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Cooling infrastructure</w:t>
            </w:r>
          </w:p>
        </w:tc>
        <w:tc>
          <w:tcPr>
            <w:tcW w:type="dxa" w:w="3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Purpose-built at massive scale</w:t>
            </w:r>
          </w:p>
        </w:tc>
        <w:tc>
          <w:tcPr>
            <w:tcW w:type="dxa" w:w="3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Distributed, smaller footprint per node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Bandwidth costs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Concentrated at hyperscale egress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Distributed across municipal fiber</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Hardware refresh cycles</w:t>
            </w:r>
          </w:p>
        </w:tc>
        <w:tc>
          <w:tcPr>
            <w:tcW w:type="dxa" w:w="3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Driven by corporate ROI</w:t>
            </w:r>
          </w:p>
        </w:tc>
        <w:tc>
          <w:tcPr>
            <w:tcW w:type="dxa" w:w="3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Driven by public asset management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Energy cost transparency</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Hidden, not published per stream</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Published in real time per stream</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Community economic benefit</w:t>
            </w:r>
          </w:p>
        </w:tc>
        <w:tc>
          <w:tcPr>
            <w:tcW w:type="dxa" w:w="3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None -- revenue leaves jurisdiction</w:t>
            </w:r>
          </w:p>
        </w:tc>
        <w:tc>
          <w:tcPr>
            <w:tcW w:type="dxa" w:w="3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Infrastructure investment stays local</w:t>
            </w:r>
          </w:p>
        </w:tc>
      </w:tr>
    </w:tbl>
    <w:p>
      <w:r>
        <w:t xml:space="preserve"/>
      </w:r>
    </w:p>
    <w:p>
      <w:pPr>
        <w:spacing w:after="160"/>
      </w:pPr>
      <w:r>
        <w:rPr>
          <w:rFonts w:ascii="Arial" w:cs="Arial" w:eastAsia="Arial" w:hAnsi="Arial"/>
          <w:sz w:val="24"/>
          <w:szCs w:val="24"/>
        </w:rPr>
        <w:t xml:space="preserve">The MESA platform (Municipal Enterprise Service Architecture) currently under development in Santa Cruz County provides the reference implementation for municipal node infrastructure. A SOWER node is an extension of that existing civic computing foundation -- not a new category of expenditure, but an expansion of already-justified public infrastructure investment.</w:t>
      </w:r>
    </w:p>
    <w:p>
      <w:r>
        <w:t xml:space="preserve"/>
      </w:r>
    </w:p>
    <w:p>
      <w:pPr>
        <w:pStyle w:val="Heading1"/>
        <w:spacing w:after="160" w:before="320"/>
      </w:pPr>
      <w:r>
        <w:rPr>
          <w:rFonts w:ascii="Arial" w:cs="Arial" w:eastAsia="Arial" w:hAnsi="Arial"/>
          <w:b/>
          <w:bCs/>
          <w:color w:val="1F4E79"/>
          <w:sz w:val="32"/>
          <w:szCs w:val="32"/>
        </w:rPr>
        <w:t xml:space="preserve">5. What a Single Municipal Node Costs to Run</w:t>
      </w:r>
    </w:p>
    <w:p>
      <w:pPr>
        <w:spacing w:after="160"/>
      </w:pPr>
      <w:r>
        <w:rPr>
          <w:rFonts w:ascii="Arial" w:cs="Arial" w:eastAsia="Arial" w:hAnsi="Arial"/>
          <w:sz w:val="24"/>
          <w:szCs w:val="24"/>
        </w:rPr>
        <w:t xml:space="preserve">Concrete numbers for a Santa Cruz County-scale pilot node, based on commodity hardware and PG&amp;E commercial rates.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2400"/>
        <w:gridCol w:w="24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Hardware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Estimated Monthly Power Draw</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Monthly Cost at $0.25/kWh (PG&amp;E)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Mini PC server (e.g., Beelink SER6)</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~$300 used</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~15-25W continuous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~$2.70-4.50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External storage (8TB HDD array)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~$150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~10-20W active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~$1.80-3.60</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Network switch</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~$50</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~5-10W</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~$0.90-1.80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Router/modem (existing)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Already deployed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~$1.80</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Total node power draw</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~40-55W continuous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~$7-12/month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Annual operating cost (power only)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~$84-144/year</w:t>
            </w:r>
          </w:p>
        </w:tc>
      </w:tr>
    </w:tbl>
    <w:p>
      <w:r>
        <w:t xml:space="preserve"/>
      </w:r>
    </w:p>
    <w:p>
      <w:pPr>
        <w:spacing w:after="160"/>
      </w:pPr>
      <w:r>
        <w:rPr>
          <w:rFonts w:ascii="Arial" w:cs="Arial" w:eastAsia="Arial" w:hAnsi="Arial"/>
          <w:sz w:val="24"/>
          <w:szCs w:val="24"/>
        </w:rPr>
        <w:t xml:space="preserve">A single municipal SOWER node serving a community library or school can operate for under $150/year in electricity at California commercial rates. Ten nodes across Santa Cruz County serving the entire community would cost under $1,500/year in electricity -- less than a single month of enterprise cloud storage at equivalent capacity.</w:t>
      </w:r>
    </w:p>
    <w:p>
      <w:r>
        <w:t xml:space="preserve"/>
      </w:r>
    </w:p>
    <w:p>
      <w:pPr>
        <w:spacing w:after="160"/>
      </w:pPr>
      <w:r>
        <w:rPr>
          <w:rFonts w:ascii="Arial" w:cs="Arial" w:eastAsia="Arial" w:hAnsi="Arial"/>
          <w:sz w:val="24"/>
          <w:szCs w:val="24"/>
        </w:rPr>
        <w:t xml:space="preserve">This is the CAPEX vs. OPEX argument in concrete numbers. The community buys the hardware once. The community owns the infrastructure permanently. The annual operating cost is electricity -- a known, metered, publicly accountable expense.</w:t>
      </w:r>
    </w:p>
    <w:p>
      <w:r>
        <w:t xml:space="preserve"/>
      </w:r>
    </w:p>
    <w:p>
      <w:pPr>
        <w:pStyle w:val="Heading1"/>
        <w:spacing w:after="160" w:before="320"/>
      </w:pPr>
      <w:r>
        <w:rPr>
          <w:rFonts w:ascii="Arial" w:cs="Arial" w:eastAsia="Arial" w:hAnsi="Arial"/>
          <w:b/>
          <w:bCs/>
          <w:color w:val="1F4E79"/>
          <w:sz w:val="32"/>
          <w:szCs w:val="32"/>
        </w:rPr>
        <w:t xml:space="preserve">6. The Transparency Argument</w:t>
      </w:r>
    </w:p>
    <w:p>
      <w:pPr>
        <w:spacing w:after="160"/>
      </w:pPr>
      <w:r>
        <w:rPr>
          <w:rFonts w:ascii="Arial" w:cs="Arial" w:eastAsia="Arial" w:hAnsi="Arial"/>
          <w:sz w:val="24"/>
          <w:szCs w:val="24"/>
        </w:rPr>
        <w:t xml:space="preserve">The SOWER platform makes energy cost visible to every user in real time. This is not a deterrent -- it is civic information that currently does not exist anywhere in the consumer media stack.</w:t>
      </w:r>
    </w:p>
    <w:p>
      <w:r>
        <w:t xml:space="preserve"/>
      </w:r>
    </w:p>
    <w:p>
      <w:pPr>
        <w:spacing w:after="160"/>
      </w:pPr>
      <w:r>
        <w:rPr>
          <w:rFonts w:ascii="Arial" w:cs="Arial" w:eastAsia="Arial" w:hAnsi="Arial"/>
          <w:sz w:val="24"/>
          <w:szCs w:val="24"/>
        </w:rPr>
        <w:t xml:space="preserve">What users currently cannot see:</w:t>
      </w:r>
    </w:p>
    <w:p>
      <w:pPr>
        <w:pStyle w:val="ListParagraph"/>
        <w:numPr>
          <w:ilvl w:val="0"/>
          <w:numId w:val="2"/>
        </w:numPr>
        <w:spacing w:after="100"/>
      </w:pPr>
      <w:r>
        <w:rPr>
          <w:rFonts w:ascii="Arial" w:cs="Arial" w:eastAsia="Arial" w:hAnsi="Arial"/>
          <w:sz w:val="24"/>
          <w:szCs w:val="24"/>
        </w:rPr>
        <w:t xml:space="preserve">The watt-hours consumed to store their uploaded video</w:t>
      </w:r>
    </w:p>
    <w:p>
      <w:pPr>
        <w:pStyle w:val="ListParagraph"/>
        <w:numPr>
          <w:ilvl w:val="0"/>
          <w:numId w:val="2"/>
        </w:numPr>
        <w:spacing w:after="100"/>
      </w:pPr>
      <w:r>
        <w:rPr>
          <w:rFonts w:ascii="Arial" w:cs="Arial" w:eastAsia="Arial" w:hAnsi="Arial"/>
          <w:sz w:val="24"/>
          <w:szCs w:val="24"/>
        </w:rPr>
        <w:t xml:space="preserve">The watt-hours consumed to transcode it into 6-8 quality tiers</w:t>
      </w:r>
    </w:p>
    <w:p>
      <w:pPr>
        <w:pStyle w:val="ListParagraph"/>
        <w:numPr>
          <w:ilvl w:val="0"/>
          <w:numId w:val="2"/>
        </w:numPr>
        <w:spacing w:after="100"/>
      </w:pPr>
      <w:r>
        <w:rPr>
          <w:rFonts w:ascii="Arial" w:cs="Arial" w:eastAsia="Arial" w:hAnsi="Arial"/>
          <w:sz w:val="24"/>
          <w:szCs w:val="24"/>
        </w:rPr>
        <w:t xml:space="preserve">The watt-hours consumed each time someone streams it</w:t>
      </w:r>
    </w:p>
    <w:p>
      <w:pPr>
        <w:pStyle w:val="ListParagraph"/>
        <w:numPr>
          <w:ilvl w:val="0"/>
          <w:numId w:val="2"/>
        </w:numPr>
        <w:spacing w:after="100"/>
      </w:pPr>
      <w:r>
        <w:rPr>
          <w:rFonts w:ascii="Arial" w:cs="Arial" w:eastAsia="Arial" w:hAnsi="Arial"/>
          <w:sz w:val="24"/>
          <w:szCs w:val="24"/>
        </w:rPr>
        <w:t xml:space="preserve">The water consumed to cool the servers doing all of the above</w:t>
      </w:r>
    </w:p>
    <w:p>
      <w:pPr>
        <w:pStyle w:val="ListParagraph"/>
        <w:numPr>
          <w:ilvl w:val="0"/>
          <w:numId w:val="2"/>
        </w:numPr>
        <w:spacing w:after="100"/>
      </w:pPr>
      <w:r>
        <w:rPr>
          <w:rFonts w:ascii="Arial" w:cs="Arial" w:eastAsia="Arial" w:hAnsi="Arial"/>
          <w:sz w:val="24"/>
          <w:szCs w:val="24"/>
        </w:rPr>
        <w:t xml:space="preserve">The carbon emitted per hour of their viewing session</w:t>
      </w:r>
    </w:p>
    <w:p>
      <w:r>
        <w:t xml:space="preserve"/>
      </w:r>
    </w:p>
    <w:p>
      <w:pPr>
        <w:spacing w:after="160"/>
      </w:pPr>
      <w:r>
        <w:rPr>
          <w:rFonts w:ascii="Arial" w:cs="Arial" w:eastAsia="Arial" w:hAnsi="Arial"/>
          <w:sz w:val="24"/>
          <w:szCs w:val="24"/>
        </w:rPr>
        <w:t xml:space="preserve">What SOWER shows in real time:</w:t>
      </w:r>
    </w:p>
    <w:p>
      <w:pPr>
        <w:pStyle w:val="ListParagraph"/>
        <w:numPr>
          <w:ilvl w:val="0"/>
          <w:numId w:val="2"/>
        </w:numPr>
        <w:spacing w:after="100"/>
      </w:pPr>
      <w:r>
        <w:rPr>
          <w:rFonts w:ascii="Arial" w:cs="Arial" w:eastAsia="Arial" w:hAnsi="Arial"/>
          <w:sz w:val="24"/>
          <w:szCs w:val="24"/>
        </w:rPr>
        <w:t xml:space="preserve">Watt-hours consumed by the current stream</w:t>
      </w:r>
    </w:p>
    <w:p>
      <w:pPr>
        <w:pStyle w:val="ListParagraph"/>
        <w:numPr>
          <w:ilvl w:val="0"/>
          <w:numId w:val="2"/>
        </w:numPr>
        <w:spacing w:after="100"/>
      </w:pPr>
      <w:r>
        <w:rPr>
          <w:rFonts w:ascii="Arial" w:cs="Arial" w:eastAsia="Arial" w:hAnsi="Arial"/>
          <w:sz w:val="24"/>
          <w:szCs w:val="24"/>
        </w:rPr>
        <w:t xml:space="preserve">Watt-hours consumed by this session total</w:t>
      </w:r>
    </w:p>
    <w:p>
      <w:pPr>
        <w:pStyle w:val="ListParagraph"/>
        <w:numPr>
          <w:ilvl w:val="0"/>
          <w:numId w:val="2"/>
        </w:numPr>
        <w:spacing w:after="100"/>
      </w:pPr>
      <w:r>
        <w:rPr>
          <w:rFonts w:ascii="Arial" w:cs="Arial" w:eastAsia="Arial" w:hAnsi="Arial"/>
          <w:sz w:val="24"/>
          <w:szCs w:val="24"/>
        </w:rPr>
        <w:t xml:space="preserve">Node location and energy source serving the stream</w:t>
      </w:r>
    </w:p>
    <w:p>
      <w:pPr>
        <w:pStyle w:val="ListParagraph"/>
        <w:numPr>
          <w:ilvl w:val="0"/>
          <w:numId w:val="2"/>
        </w:numPr>
        <w:spacing w:after="100"/>
      </w:pPr>
      <w:r>
        <w:rPr>
          <w:rFonts w:ascii="Arial" w:cs="Arial" w:eastAsia="Arial" w:hAnsi="Arial"/>
          <w:sz w:val="24"/>
          <w:szCs w:val="24"/>
        </w:rPr>
        <w:t xml:space="preserve">Equivalent consumer comparison (e.g., equivalent to running a 60W bulb for X minutes)</w:t>
      </w:r>
    </w:p>
    <w:p>
      <w:r>
        <w:t xml:space="preserve"/>
      </w:r>
    </w:p>
    <w:p>
      <w:pPr>
        <w:spacing w:after="160"/>
      </w:pPr>
      <w:r>
        <w:rPr>
          <w:rFonts w:ascii="Arial" w:cs="Arial" w:eastAsia="Arial" w:hAnsi="Arial"/>
          <w:sz w:val="24"/>
          <w:szCs w:val="24"/>
        </w:rPr>
        <w:t xml:space="preserve">Google, Netflix, and YouTube publish annual sustainability reports with aggregate numbers. None of them show you the cost of the specific thing you are doing right now. SOWER does. That is civic education built into the infrastructure layer.</w:t>
      </w:r>
    </w:p>
    <w:p>
      <w:r>
        <w:t xml:space="preserve"/>
      </w:r>
    </w:p>
    <w:p>
      <w:pPr>
        <w:pStyle w:val="Heading1"/>
        <w:spacing w:after="160" w:before="320"/>
      </w:pPr>
      <w:r>
        <w:rPr>
          <w:rFonts w:ascii="Arial" w:cs="Arial" w:eastAsia="Arial" w:hAnsi="Arial"/>
          <w:b/>
          <w:bCs/>
          <w:color w:val="1F4E79"/>
          <w:sz w:val="32"/>
          <w:szCs w:val="32"/>
        </w:rPr>
        <w:t xml:space="preserve">7. Summary</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33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Problem</w:t>
            </w:r>
          </w:p>
        </w:tc>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Current State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SOWER + ZERA Solution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Storage waste</w:t>
            </w:r>
          </w:p>
        </w:tc>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6-8 copies per video, 70-85% redundant</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 ZERA file, all resolutions derived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Transcoding energy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Continuous at upload scale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Eliminated entirely</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Infrastructure ownership</w:t>
            </w:r>
          </w:p>
        </w:tc>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Corporate, no public stake</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Municipal CAPEX, publicly owned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Energy transparency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Hidden from users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Real-time per-stream display</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AI access to media</w:t>
            </w:r>
          </w:p>
        </w:tc>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Rendered outputs only</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Direct latent access -- more efficient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Community economic benefit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Local infrastructure investment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Token/financialization risk</w:t>
            </w:r>
          </w:p>
        </w:tc>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N/A (centralized)</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Eliminated by design -- no token</w:t>
            </w:r>
          </w:p>
        </w:tc>
      </w:tr>
    </w:tbl>
    <w:p>
      <w:r>
        <w:t xml:space="preserve"/>
      </w:r>
    </w:p>
    <w:p>
      <w:pPr>
        <w:spacing w:after="160"/>
      </w:pPr>
      <w:r>
        <w:rPr>
          <w:rFonts w:ascii="Arial" w:cs="Arial" w:eastAsia="Arial" w:hAnsi="Arial"/>
          <w:sz w:val="24"/>
          <w:szCs w:val="24"/>
        </w:rPr>
        <w:t xml:space="preserve">The centralized media stack is not an engineering inevitability. It is a series of design choices made under financial incentives that have nothing to do with efficiency, sovereignty, or community benefit. SOWER and the ZERA format are a different set of design choices -- ones that treat energy as a civic resource, infrastructure as a public asset, and citizens as neighbors rather than audience inventory.</w:t>
      </w:r>
    </w:p>
    <w:p>
      <w:r>
        <w:t xml:space="preserve"/>
      </w:r>
    </w:p>
    <w:p>
      <w:pPr>
        <w:pBdr>
          <w:bottom w:val="single" w:color="2E75B6" w:sz="6" w:space="1"/>
        </w:pBdr>
      </w:pPr>
      <w:r>
        <w:t xml:space="preserve"/>
      </w:r>
    </w:p>
    <w:p>
      <w:r>
        <w:t xml:space="preserve"/>
      </w:r>
    </w:p>
    <w:p>
      <w:pPr>
        <w:jc w:val="center"/>
      </w:pPr>
      <w:r>
        <w:rPr>
          <w:rFonts w:ascii="Arial" w:cs="Arial" w:eastAsia="Arial" w:hAnsi="Arial"/>
          <w:i/>
          <w:iCs/>
          <w:color w:val="444444"/>
          <w:sz w:val="24"/>
          <w:szCs w:val="24"/>
        </w:rPr>
        <w:t xml:space="preserve">"A sower went out to sow."</w:t>
      </w:r>
    </w:p>
    <w:p>
      <w:pPr>
        <w:spacing w:after="160"/>
        <w:jc w:val="center"/>
      </w:pPr>
      <w:r>
        <w:rPr>
          <w:rFonts w:ascii="Arial" w:cs="Arial" w:eastAsia="Arial" w:hAnsi="Arial"/>
          <w:i/>
          <w:iCs/>
          <w:color w:val="666666"/>
          <w:sz w:val="20"/>
          <w:szCs w:val="20"/>
        </w:rPr>
        <w:t xml:space="preserve">Matthew 13:3  |  The infrastructure belongs to the neighbors.</w:t>
      </w:r>
    </w:p>
    <w:p>
      <w:r>
        <w:t xml:space="preserve"/>
      </w:r>
    </w:p>
    <w:p>
      <w:pPr>
        <w:spacing w:after="80"/>
        <w:jc w:val="center"/>
      </w:pPr>
      <w:r>
        <w:rPr>
          <w:rFonts w:ascii="Arial" w:cs="Arial" w:eastAsia="Arial" w:hAnsi="Arial"/>
          <w:color w:val="666666"/>
          <w:sz w:val="20"/>
          <w:szCs w:val="20"/>
        </w:rPr>
        <w:t xml:space="preserve">Research Brief v0.1  |  Paul Statchen  |  Santa Cruz, CA  |  2026</w:t>
      </w:r>
    </w:p>
    <w:p>
      <w:pPr>
        <w:spacing w:after="80"/>
        <w:jc w:val="center"/>
      </w:pPr>
      <w:r>
        <w:rPr>
          <w:rFonts w:ascii="Arial" w:cs="Arial" w:eastAsia="Arial" w:hAnsi="Arial"/>
          <w:color w:val="666666"/>
          <w:sz w:val="20"/>
          <w:szCs w:val="20"/>
        </w:rPr>
        <w:t xml:space="preserve">License: Apache 2.0  |  github.com/paulstatchen10-ux/SOWER-Sovereign-Media-Infrastructure</w:t>
      </w:r>
    </w:p>
    <w:p>
      <w:r>
        <w:t xml:space="preserve"/>
      </w:r>
    </w:p>
    <w:p>
      <w:pPr>
        <w:pBdr>
          <w:bottom w:val="single" w:color="2E75B6" w:sz="6" w:space="1"/>
        </w:pBdr>
      </w:pPr>
      <w:r>
        <w:t xml:space="preserve"/>
      </w:r>
    </w:p>
    <w:p>
      <w:r>
        <w:t xml:space="preserve"/>
      </w:r>
    </w:p>
    <w:p>
      <w:pPr>
        <w:spacing w:after="80"/>
        <w:jc w:val="center"/>
      </w:pPr>
      <w:r>
        <w:rPr>
          <w:rFonts w:ascii="Arial" w:cs="Arial" w:eastAsia="Arial" w:hAnsi="Arial"/>
          <w:b/>
          <w:bCs/>
          <w:color w:val="444444"/>
          <w:sz w:val="22"/>
          <w:szCs w:val="22"/>
        </w:rPr>
        <w:t xml:space="preserve">AI Collaboration Attribution</w:t>
      </w:r>
    </w:p>
    <w:p>
      <w:pPr>
        <w:spacing w:after="80"/>
        <w:jc w:val="center"/>
      </w:pPr>
      <w:r>
        <w:rPr>
          <w:rFonts w:ascii="Arial" w:cs="Arial" w:eastAsia="Arial" w:hAnsi="Arial"/>
          <w:i/>
          <w:iCs/>
          <w:color w:val="666666"/>
          <w:sz w:val="20"/>
          <w:szCs w:val="20"/>
        </w:rPr>
        <w:t xml:space="preserve">This research brief was developed in collaborative dialogue with Claude (Anthropic).</w:t>
      </w:r>
    </w:p>
    <w:p>
      <w:pPr>
        <w:spacing w:after="80"/>
        <w:jc w:val="center"/>
      </w:pPr>
      <w:r>
        <w:rPr>
          <w:rFonts w:ascii="Arial" w:cs="Arial" w:eastAsia="Arial" w:hAnsi="Arial"/>
          <w:i/>
          <w:iCs/>
          <w:color w:val="666666"/>
          <w:sz w:val="20"/>
          <w:szCs w:val="20"/>
        </w:rPr>
        <w:t xml:space="preserve">Architectural vision, civic philosophy, and SOWER/ZERA design are original work by Paul Statchen.</w:t>
      </w:r>
    </w:p>
    <w:p>
      <w:pPr>
        <w:jc w:val="center"/>
      </w:pPr>
      <w:r>
        <w:rPr>
          <w:rFonts w:ascii="Arial" w:cs="Arial" w:eastAsia="Arial" w:hAnsi="Arial"/>
          <w:i/>
          <w:iCs/>
          <w:color w:val="666666"/>
          <w:sz w:val="20"/>
          <w:szCs w:val="20"/>
        </w:rPr>
        <w:t xml:space="preserve">Claude assisted with data research, quantitative analysis, and document structure.</w:t>
      </w:r>
    </w:p>
    <w:p>
      <w:r>
        <w:t xml:space="preserve"/>
      </w:r>
    </w:p>
    <w:p>
      <w:pPr>
        <w:jc w:val="center"/>
      </w:pPr>
      <w:r>
        <w:rPr>
          <w:rFonts w:ascii="Arial" w:cs="Arial" w:eastAsia="Arial" w:hAnsi="Arial"/>
          <w:i/>
          <w:iCs/>
          <w:color w:val="888888"/>
          <w:sz w:val="20"/>
          <w:szCs w:val="20"/>
        </w:rPr>
        <w:t xml:space="preserve">"The worker is due their wages." — Luke 10:7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2026-06-13T07:56:18.823Z</dcterms:created>
  <dcterms:modified xsi:type="dcterms:W3CDTF">2026-06-13T07:56:18.835Z</dcterms:modified>
</cp:coreProperties>
</file>

<file path=docProps/custom.xml><?xml version="1.0" encoding="utf-8"?>
<Properties xmlns="http://schemas.openxmlformats.org/officeDocument/2006/custom-properties" xmlns:vt="http://schemas.openxmlformats.org/officeDocument/2006/docPropsVTypes"/>
</file>