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6"/>
          <w:szCs w:val="56"/>
        </w:rPr>
        <w:t xml:space="preserve">SOWER</w:t>
      </w:r>
    </w:p>
    <w:p>
      <w:pPr>
        <w:spacing w:after="120"/>
        <w:jc w:val="center"/>
      </w:pPr>
      <w:r>
        <w:rPr>
          <w:rFonts w:ascii="Arial" w:cs="Arial" w:eastAsia="Arial" w:hAnsi="Arial"/>
          <w:i/>
          <w:iCs/>
          <w:color w:val="2E75B6"/>
          <w:sz w:val="28"/>
          <w:szCs w:val="28"/>
        </w:rPr>
        <w:t xml:space="preserve">A Sovereign Federated Media Infrastructure</w:t>
      </w:r>
    </w:p>
    <w:p>
      <w:pPr>
        <w:spacing w:after="80"/>
        <w:jc w:val="center"/>
      </w:pPr>
      <w:r>
        <w:rPr>
          <w:rFonts w:ascii="Arial" w:cs="Arial" w:eastAsia="Arial" w:hAnsi="Arial"/>
          <w:i/>
          <w:iCs/>
          <w:color w:val="444444"/>
          <w:sz w:val="24"/>
          <w:szCs w:val="24"/>
        </w:rPr>
        <w:t xml:space="preserve">with the ZERA Universal Latent Container Format</w:t>
      </w:r>
    </w:p>
    <w:p>
      <w:pPr>
        <w:pBdr>
          <w:bottom w:val="single" w:color="2E75B6" w:sz="6" w:space="1"/>
        </w:pBdr>
      </w:pPr>
      <w:r>
        <w:t xml:space="preserve"/>
      </w:r>
    </w:p>
    <w:p>
      <w:pPr>
        <w:spacing w:after="320" w:before="120"/>
        <w:jc w:val="center"/>
      </w:pPr>
      <w:r>
        <w:rPr>
          <w:rFonts w:ascii="Arial" w:cs="Arial" w:eastAsia="Arial" w:hAnsi="Arial"/>
          <w:color w:val="666666"/>
          <w:sz w:val="20"/>
          <w:szCs w:val="20"/>
        </w:rPr>
        <w:t xml:space="preserve">Concept Paper v0.1  |  Paul Statchen, Civic Scientist &amp; Systems Architect  |  Santa Cruz, CA  |  2026</w:t>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SOWER is a proposed open-source, federated media platform designed to replace centralized video and media infrastructure with a municipal-node backbone, zero tokenization, radical energy transparency, and a novel universal container format called ZERA. Where existing platforms optimize for engagement, advertising revenue, and proprietary lock-in, SOWER optimizes for sovereignty, legibility, and long-term civic resilience. This paper presents the architectural vision, core design constraints, and a call for collaboration from the technical and civic communities of Santa Cruz County and beyond.</w:t>
      </w:r>
    </w:p>
    <w:p>
      <w:r>
        <w:t xml:space="preserve"/>
      </w:r>
    </w:p>
    <w:p>
      <w:pPr>
        <w:pStyle w:val="Heading1"/>
      </w:pPr>
      <w:r>
        <w:rPr>
          <w:rFonts w:ascii="Arial" w:cs="Arial" w:eastAsia="Arial" w:hAnsi="Arial"/>
          <w:b/>
          <w:bCs/>
          <w:sz w:val="32"/>
          <w:szCs w:val="32"/>
        </w:rPr>
        <w:t xml:space="preserve">The Problem</w:t>
      </w:r>
    </w:p>
    <w:p>
      <w:pPr>
        <w:spacing w:after="160"/>
      </w:pPr>
      <w:r>
        <w:rPr>
          <w:rFonts w:ascii="Arial" w:cs="Arial" w:eastAsia="Arial" w:hAnsi="Arial"/>
          <w:sz w:val="24"/>
          <w:szCs w:val="24"/>
        </w:rPr>
        <w:t xml:space="preserve">Centralized media platforms — YouTube, Spotify, cloud storage providers — share a common failure mode: they route all content, identity, and attention through infrastructure controlled by a single corporate entity optimized for shareholder return. The consequences are well-documented:</w:t>
      </w:r>
    </w:p>
    <w:p>
      <w:r>
        <w:t xml:space="preserve"/>
      </w:r>
    </w:p>
    <w:p>
      <w:pPr>
        <w:pStyle w:val="ListParagraph"/>
        <w:numPr>
          <w:ilvl w:val="0"/>
          <w:numId w:val="2"/>
        </w:numPr>
        <w:spacing w:after="100"/>
      </w:pPr>
      <w:r>
        <w:rPr>
          <w:rFonts w:ascii="Arial" w:cs="Arial" w:eastAsia="Arial" w:hAnsi="Arial"/>
          <w:sz w:val="24"/>
          <w:szCs w:val="24"/>
        </w:rPr>
        <w:t xml:space="preserve">Algorithmic curation that serves advertising over citizen access to information</w:t>
      </w:r>
    </w:p>
    <w:p>
      <w:pPr>
        <w:pStyle w:val="ListParagraph"/>
        <w:numPr>
          <w:ilvl w:val="0"/>
          <w:numId w:val="2"/>
        </w:numPr>
        <w:spacing w:after="100"/>
      </w:pPr>
      <w:r>
        <w:rPr>
          <w:rFonts w:ascii="Arial" w:cs="Arial" w:eastAsia="Arial" w:hAnsi="Arial"/>
          <w:sz w:val="24"/>
          <w:szCs w:val="24"/>
        </w:rPr>
        <w:t xml:space="preserve">Energy consumption at datacenter scale with no legible cost accounting to end users</w:t>
      </w:r>
    </w:p>
    <w:p>
      <w:pPr>
        <w:pStyle w:val="ListParagraph"/>
        <w:numPr>
          <w:ilvl w:val="0"/>
          <w:numId w:val="2"/>
        </w:numPr>
        <w:spacing w:after="100"/>
      </w:pPr>
      <w:r>
        <w:rPr>
          <w:rFonts w:ascii="Arial" w:cs="Arial" w:eastAsia="Arial" w:hAnsi="Arial"/>
          <w:sz w:val="24"/>
          <w:szCs w:val="24"/>
        </w:rPr>
        <w:t xml:space="preserve">Multiple redundant file copies stored per piece of content across global server farms</w:t>
      </w:r>
    </w:p>
    <w:p>
      <w:pPr>
        <w:pStyle w:val="ListParagraph"/>
        <w:numPr>
          <w:ilvl w:val="0"/>
          <w:numId w:val="2"/>
        </w:numPr>
        <w:spacing w:after="100"/>
      </w:pPr>
      <w:r>
        <w:rPr>
          <w:rFonts w:ascii="Arial" w:cs="Arial" w:eastAsia="Arial" w:hAnsi="Arial"/>
          <w:sz w:val="24"/>
          <w:szCs w:val="24"/>
        </w:rPr>
        <w:t xml:space="preserve">Token-based decentralization attempts that get captured by financial speculation within 18 months</w:t>
      </w:r>
    </w:p>
    <w:p>
      <w:pPr>
        <w:pStyle w:val="ListParagraph"/>
        <w:numPr>
          <w:ilvl w:val="0"/>
          <w:numId w:val="2"/>
        </w:numPr>
        <w:spacing w:after="100"/>
      </w:pPr>
      <w:r>
        <w:rPr>
          <w:rFonts w:ascii="Arial" w:cs="Arial" w:eastAsia="Arial" w:hAnsi="Arial"/>
          <w:sz w:val="24"/>
          <w:szCs w:val="24"/>
        </w:rPr>
        <w:t xml:space="preserve">No viable path for municipal or civic institutions to participate as infrastructure peers</w:t>
      </w:r>
    </w:p>
    <w:p>
      <w:r>
        <w:t xml:space="preserve"/>
      </w:r>
    </w:p>
    <w:p>
      <w:pPr>
        <w:spacing w:after="160"/>
      </w:pPr>
      <w:r>
        <w:rPr>
          <w:rFonts w:ascii="Arial" w:cs="Arial" w:eastAsia="Arial" w:hAnsi="Arial"/>
          <w:sz w:val="24"/>
          <w:szCs w:val="24"/>
        </w:rPr>
        <w:t xml:space="preserve">No existing platform addresses all five simultaneously. SOWER is designed to.</w:t>
      </w:r>
    </w:p>
    <w:p>
      <w:r>
        <w:t xml:space="preserve"/>
      </w:r>
    </w:p>
    <w:p>
      <w:pPr>
        <w:pStyle w:val="Heading1"/>
      </w:pPr>
      <w:r>
        <w:rPr>
          <w:rFonts w:ascii="Arial" w:cs="Arial" w:eastAsia="Arial" w:hAnsi="Arial"/>
          <w:b/>
          <w:bCs/>
          <w:sz w:val="32"/>
          <w:szCs w:val="32"/>
        </w:rPr>
        <w:t xml:space="preserve">Non-Negotiable Design Constraints</w:t>
      </w:r>
    </w:p>
    <w:p>
      <w:pPr>
        <w:spacing w:after="160"/>
      </w:pPr>
      <w:r>
        <w:rPr>
          <w:rFonts w:ascii="Arial" w:cs="Arial" w:eastAsia="Arial" w:hAnsi="Arial"/>
          <w:sz w:val="24"/>
          <w:szCs w:val="24"/>
        </w:rPr>
        <w:t xml:space="preserve">These constraints are architectural commitments, not preferences. They are locked before implementation begins.</w:t>
      </w:r>
    </w:p>
    <w:p>
      <w:r>
        <w:t xml:space="preserve"/>
      </w:r>
    </w:p>
    <w:p>
      <w:pPr>
        <w:pStyle w:val="Heading2"/>
      </w:pPr>
      <w:r>
        <w:rPr>
          <w:rFonts w:ascii="Arial" w:cs="Arial" w:eastAsia="Arial" w:hAnsi="Arial"/>
          <w:b/>
          <w:bCs/>
          <w:sz w:val="26"/>
          <w:szCs w:val="26"/>
        </w:rPr>
        <w:t xml:space="preserve">1. No Tokenization. Ever.</w:t>
      </w:r>
    </w:p>
    <w:p>
      <w:pPr>
        <w:spacing w:after="160"/>
      </w:pPr>
      <w:r>
        <w:rPr>
          <w:rFonts w:ascii="Arial" w:cs="Arial" w:eastAsia="Arial" w:hAnsi="Arial"/>
          <w:sz w:val="24"/>
          <w:szCs w:val="24"/>
        </w:rPr>
        <w:t xml:space="preserve">No convertible currency layer. No exchange-listed token. No crypto incentive economics. Energy accounting exists for transparency and user awareness only — never as a tradeable asset. Wherever money can enter a decentralized system, financial capture follows. This is empirically demonstrated. SOWER routes around that attack surface entirely.</w:t>
      </w:r>
    </w:p>
    <w:p>
      <w:r>
        <w:t xml:space="preserve"/>
      </w:r>
    </w:p>
    <w:p>
      <w:pPr>
        <w:pStyle w:val="Heading2"/>
      </w:pPr>
      <w:r>
        <w:rPr>
          <w:rFonts w:ascii="Arial" w:cs="Arial" w:eastAsia="Arial" w:hAnsi="Arial"/>
          <w:b/>
          <w:bCs/>
          <w:sz w:val="26"/>
          <w:szCs w:val="26"/>
        </w:rPr>
        <w:t xml:space="preserve">2. Energy Transparency as a First-Class Feature</w:t>
      </w:r>
    </w:p>
    <w:p>
      <w:pPr>
        <w:spacing w:after="160"/>
      </w:pPr>
      <w:r>
        <w:rPr>
          <w:rFonts w:ascii="Arial" w:cs="Arial" w:eastAsia="Arial" w:hAnsi="Arial"/>
          <w:sz w:val="24"/>
          <w:szCs w:val="24"/>
        </w:rPr>
        <w:t xml:space="preserve">Every node publishes its actual power draw. Every stream shows the user a real-time energy cost display in watt-hours. Not as a deterrent — as civic education. Citizens deserve to understand the true infrastructure cost of the media they consume. This is currently hidden by every major platform.</w:t>
      </w:r>
    </w:p>
    <w:p>
      <w:r>
        <w:t xml:space="preserve"/>
      </w:r>
    </w:p>
    <w:p>
      <w:pPr>
        <w:pStyle w:val="Heading2"/>
      </w:pPr>
      <w:r>
        <w:rPr>
          <w:rFonts w:ascii="Arial" w:cs="Arial" w:eastAsia="Arial" w:hAnsi="Arial"/>
          <w:b/>
          <w:bCs/>
          <w:sz w:val="26"/>
          <w:szCs w:val="26"/>
        </w:rPr>
        <w:t xml:space="preserve">3. Municipal Node Backbone</w:t>
      </w:r>
    </w:p>
    <w:p>
      <w:pPr>
        <w:spacing w:after="160"/>
      </w:pPr>
      <w:r>
        <w:rPr>
          <w:rFonts w:ascii="Arial" w:cs="Arial" w:eastAsia="Arial" w:hAnsi="Arial"/>
          <w:sz w:val="24"/>
          <w:szCs w:val="24"/>
        </w:rPr>
        <w:t xml:space="preserve">The primary infrastructure layer is civic hardware — libraries, schools, county facilities, university nodes. These institutions have existing public mandates, existing energy budgets, and existing obligations to their communities. A SOWER node is another public service, like a water meter or a bus route. The Santa Cruz County infrastructure — including the MESA (Municipal Enterprise Service Architecture) open-source platform already in development — serves as the reference implementation.</w:t>
      </w:r>
    </w:p>
    <w:p>
      <w:r>
        <w:t xml:space="preserve"/>
      </w:r>
    </w:p>
    <w:p>
      <w:pPr>
        <w:pStyle w:val="Heading2"/>
      </w:pPr>
      <w:r>
        <w:rPr>
          <w:rFonts w:ascii="Arial" w:cs="Arial" w:eastAsia="Arial" w:hAnsi="Arial"/>
          <w:b/>
          <w:bCs/>
          <w:sz w:val="26"/>
          <w:szCs w:val="26"/>
        </w:rPr>
        <w:t xml:space="preserve">4. Minimal by Default</w:t>
      </w:r>
    </w:p>
    <w:p>
      <w:pPr>
        <w:spacing w:after="160"/>
      </w:pPr>
      <w:r>
        <w:rPr>
          <w:rFonts w:ascii="Arial" w:cs="Arial" w:eastAsia="Arial" w:hAnsi="Arial"/>
          <w:sz w:val="24"/>
          <w:szCs w:val="24"/>
        </w:rPr>
        <w:t xml:space="preserve">The platform ships with zero algorithmic feed. No CEO decides what you see. No engagement optimization. The default state is a search interface and a chronological feed of content from sources the user has explicitly chosen. Complexity is added only by user action, never by platform default. Users who want recommendation logic may install their own, locally, as a plugin — the platform never provides one.</w:t>
      </w:r>
    </w:p>
    <w:p>
      <w:r>
        <w:t xml:space="preserve"/>
      </w:r>
    </w:p>
    <w:p>
      <w:pPr>
        <w:pStyle w:val="Heading2"/>
      </w:pPr>
      <w:r>
        <w:rPr>
          <w:rFonts w:ascii="Arial" w:cs="Arial" w:eastAsia="Arial" w:hAnsi="Arial"/>
          <w:b/>
          <w:bCs/>
          <w:sz w:val="26"/>
          <w:szCs w:val="26"/>
        </w:rPr>
        <w:t xml:space="preserve">5. AI-Agnostic Open API</w:t>
      </w:r>
    </w:p>
    <w:p>
      <w:pPr>
        <w:spacing w:after="160"/>
      </w:pPr>
      <w:r>
        <w:rPr>
          <w:rFonts w:ascii="Arial" w:cs="Arial" w:eastAsia="Arial" w:hAnsi="Arial"/>
          <w:sz w:val="24"/>
          <w:szCs w:val="24"/>
        </w:rPr>
        <w:t xml:space="preserve">Any AI system — Claude, Gemini, open-source models, locally-run inference — connects to SOWER as a peer neighbor, not as a proprietary feature. The platform does not favor any AI vendor. The API is open. Human users and AI agents are treated as equivalent interface clients.</w:t>
      </w:r>
    </w:p>
    <w:p>
      <w:r>
        <w:t xml:space="preserve"/>
      </w:r>
    </w:p>
    <w:p>
      <w:pPr>
        <w:pStyle w:val="Heading1"/>
      </w:pPr>
      <w:r>
        <w:rPr>
          <w:rFonts w:ascii="Arial" w:cs="Arial" w:eastAsia="Arial" w:hAnsi="Arial"/>
          <w:b/>
          <w:bCs/>
          <w:sz w:val="32"/>
          <w:szCs w:val="32"/>
        </w:rPr>
        <w:t xml:space="preserve">The ZERA Format: A Universal Latent Container</w:t>
      </w:r>
    </w:p>
    <w:p>
      <w:pPr>
        <w:spacing w:after="160"/>
      </w:pPr>
      <w:r>
        <w:rPr>
          <w:rFonts w:ascii="Arial" w:cs="Arial" w:eastAsia="Arial" w:hAnsi="Arial"/>
          <w:sz w:val="24"/>
          <w:szCs w:val="24"/>
        </w:rPr>
        <w:t xml:space="preserve">ZERA (from the Hebrew zera, meaning seed) is the proposed native media container format for the SOWER platform. It represents a fundamental rethinking of how media files are stored and distributed.</w:t>
      </w:r>
    </w:p>
    <w:p>
      <w:r>
        <w:t xml:space="preserve"/>
      </w:r>
    </w:p>
    <w:p>
      <w:pPr>
        <w:pStyle w:val="Heading2"/>
      </w:pPr>
      <w:r>
        <w:rPr>
          <w:rFonts w:ascii="Arial" w:cs="Arial" w:eastAsia="Arial" w:hAnsi="Arial"/>
          <w:b/>
          <w:bCs/>
          <w:sz w:val="26"/>
          <w:szCs w:val="26"/>
        </w:rPr>
        <w:t xml:space="preserve">Current State: The Multiple-Copy Problem</w:t>
      </w:r>
    </w:p>
    <w:p>
      <w:pPr>
        <w:spacing w:after="160"/>
      </w:pPr>
      <w:r>
        <w:rPr>
          <w:rFonts w:ascii="Arial" w:cs="Arial" w:eastAsia="Arial" w:hAnsi="Arial"/>
          <w:sz w:val="24"/>
          <w:szCs w:val="24"/>
        </w:rPr>
        <w:t xml:space="preserve">Every major video platform today stores the same piece of content in 6-8 discrete quality tiers: 360p, 480p, 720p, 1080p, 1440p, 4K, and sometimes HDR variants of each. A single 4K video upload might generate 40-60GB of derived storage across all quality ladders. Multiplied across billions of uploads, this is the primary driver of datacenter scale energy consumption and hardware demand.</w:t>
      </w:r>
    </w:p>
    <w:p>
      <w:r>
        <w:t xml:space="preserve"/>
      </w:r>
    </w:p>
    <w:p>
      <w:pPr>
        <w:pStyle w:val="Heading2"/>
      </w:pPr>
      <w:r>
        <w:rPr>
          <w:rFonts w:ascii="Arial" w:cs="Arial" w:eastAsia="Arial" w:hAnsi="Arial"/>
          <w:b/>
          <w:bCs/>
          <w:sz w:val="26"/>
          <w:szCs w:val="26"/>
        </w:rPr>
        <w:t xml:space="preserve">The ZERA Approach: One File, All Resolutions</w:t>
      </w:r>
    </w:p>
    <w:p>
      <w:pPr>
        <w:spacing w:after="160"/>
      </w:pPr>
      <w:r>
        <w:rPr>
          <w:rFonts w:ascii="Arial" w:cs="Arial" w:eastAsia="Arial" w:hAnsi="Arial"/>
          <w:sz w:val="24"/>
          <w:szCs w:val="24"/>
        </w:rPr>
        <w:t xml:space="preserve">ZERA proposes storing a single latent-space representation of the source media — a mathematical encoding that contains the full information content of the original — from which any target resolution, format, or bitrate can be derived on demand at playback time.</w:t>
      </w:r>
    </w:p>
    <w:p>
      <w:r>
        <w:t xml:space="preserve"/>
      </w:r>
    </w:p>
    <w:p>
      <w:pPr>
        <w:spacing w:after="160"/>
      </w:pPr>
      <w:r>
        <w:rPr>
          <w:rFonts w:ascii="Arial" w:cs="Arial" w:eastAsia="Arial" w:hAnsi="Arial"/>
          <w:sz w:val="24"/>
          <w:szCs w:val="24"/>
        </w:rPr>
        <w:t xml:space="preserve">This is architecturally analogous to:</w:t>
      </w:r>
    </w:p>
    <w:p>
      <w:r>
        <w:t xml:space="preserve"/>
      </w:r>
    </w:p>
    <w:p>
      <w:pPr>
        <w:pStyle w:val="ListParagraph"/>
        <w:numPr>
          <w:ilvl w:val="0"/>
          <w:numId w:val="2"/>
        </w:numPr>
        <w:spacing w:after="100"/>
      </w:pPr>
      <w:r>
        <w:rPr>
          <w:rFonts w:ascii="Arial" w:cs="Arial" w:eastAsia="Arial" w:hAnsi="Arial"/>
          <w:sz w:val="24"/>
          <w:szCs w:val="24"/>
        </w:rPr>
        <w:t xml:space="preserve">FLAC for audio: one lossless file, decoded to whatever the output device requires</w:t>
      </w:r>
    </w:p>
    <w:p>
      <w:pPr>
        <w:pStyle w:val="ListParagraph"/>
        <w:numPr>
          <w:ilvl w:val="0"/>
          <w:numId w:val="2"/>
        </w:numPr>
        <w:spacing w:after="100"/>
      </w:pPr>
      <w:r>
        <w:rPr>
          <w:rFonts w:ascii="Arial" w:cs="Arial" w:eastAsia="Arial" w:hAnsi="Arial"/>
          <w:sz w:val="24"/>
          <w:szCs w:val="24"/>
        </w:rPr>
        <w:t xml:space="preserve">SVG for images: mathematical description, rendered at any resolution without quality loss</w:t>
      </w:r>
    </w:p>
    <w:p>
      <w:pPr>
        <w:pStyle w:val="ListParagraph"/>
        <w:numPr>
          <w:ilvl w:val="0"/>
          <w:numId w:val="2"/>
        </w:numPr>
        <w:spacing w:after="100"/>
      </w:pPr>
      <w:r>
        <w:rPr>
          <w:rFonts w:ascii="Arial" w:cs="Arial" w:eastAsia="Arial" w:hAnsi="Arial"/>
          <w:sz w:val="24"/>
          <w:szCs w:val="24"/>
        </w:rPr>
        <w:t xml:space="preserve">Nyquist sampling theory: capture at the ceiling of fidelity, derive any lower representation mathematically</w:t>
      </w:r>
    </w:p>
    <w:p>
      <w:r>
        <w:t xml:space="preserve"/>
      </w:r>
    </w:p>
    <w:p>
      <w:pPr>
        <w:spacing w:after="160"/>
      </w:pPr>
      <w:r>
        <w:rPr>
          <w:rFonts w:ascii="Arial" w:cs="Arial" w:eastAsia="Arial" w:hAnsi="Arial"/>
          <w:sz w:val="24"/>
          <w:szCs w:val="24"/>
        </w:rPr>
        <w:t xml:space="preserve">The technical implementation path uses neural video compression — specifically learned latent representations similar to those used in generative AI video models — to encode source content into a compact latent vector space. A lightweight client-side decoder derives the appropriate output resolution in real time based on available bandwidth and device capability.</w:t>
      </w:r>
    </w:p>
    <w:p>
      <w:r>
        <w:t xml:space="preserve"/>
      </w:r>
    </w:p>
    <w:p>
      <w:pPr>
        <w:pStyle w:val="Heading2"/>
      </w:pPr>
      <w:r>
        <w:rPr>
          <w:rFonts w:ascii="Arial" w:cs="Arial" w:eastAsia="Arial" w:hAnsi="Arial"/>
          <w:b/>
          <w:bCs/>
          <w:sz w:val="26"/>
          <w:szCs w:val="26"/>
        </w:rPr>
        <w:t xml:space="preserve">ZERA as Generative Seed</w:t>
      </w:r>
    </w:p>
    <w:p>
      <w:pPr>
        <w:spacing w:after="160"/>
      </w:pPr>
      <w:r>
        <w:rPr>
          <w:rFonts w:ascii="Arial" w:cs="Arial" w:eastAsia="Arial" w:hAnsi="Arial"/>
          <w:sz w:val="24"/>
          <w:szCs w:val="24"/>
        </w:rPr>
        <w:t xml:space="preserve">Beyond streaming, the ZERA format is designed to function as a generative primitive — a seed file from which AI systems can derive upward, not just downward. Where the streaming layer derives lower resolutions for bandwidth-constrained playback, the generative layer allows AI models with sufficient compute to:</w:t>
      </w:r>
    </w:p>
    <w:p>
      <w:r>
        <w:t xml:space="preserve"/>
      </w:r>
    </w:p>
    <w:p>
      <w:pPr>
        <w:pStyle w:val="ListParagraph"/>
        <w:numPr>
          <w:ilvl w:val="0"/>
          <w:numId w:val="2"/>
        </w:numPr>
        <w:spacing w:after="100"/>
      </w:pPr>
      <w:r>
        <w:rPr>
          <w:rFonts w:ascii="Arial" w:cs="Arial" w:eastAsia="Arial" w:hAnsi="Arial"/>
          <w:sz w:val="24"/>
          <w:szCs w:val="24"/>
        </w:rPr>
        <w:t xml:space="preserve">Extend or continue the original content</w:t>
      </w:r>
    </w:p>
    <w:p>
      <w:pPr>
        <w:pStyle w:val="ListParagraph"/>
        <w:numPr>
          <w:ilvl w:val="0"/>
          <w:numId w:val="2"/>
        </w:numPr>
        <w:spacing w:after="100"/>
      </w:pPr>
      <w:r>
        <w:rPr>
          <w:rFonts w:ascii="Arial" w:cs="Arial" w:eastAsia="Arial" w:hAnsi="Arial"/>
          <w:sz w:val="24"/>
          <w:szCs w:val="24"/>
        </w:rPr>
        <w:t xml:space="preserve">Derive new formats: sheet music from audio, 3D geometry from video, text descriptions from visual content</w:t>
      </w:r>
    </w:p>
    <w:p>
      <w:pPr>
        <w:pStyle w:val="ListParagraph"/>
        <w:numPr>
          <w:ilvl w:val="0"/>
          <w:numId w:val="2"/>
        </w:numPr>
        <w:spacing w:after="100"/>
      </w:pPr>
      <w:r>
        <w:rPr>
          <w:rFonts w:ascii="Arial" w:cs="Arial" w:eastAsia="Arial" w:hAnsi="Arial"/>
          <w:sz w:val="24"/>
          <w:szCs w:val="24"/>
        </w:rPr>
        <w:t xml:space="preserve">Pass latent representations directly between AI systems without rendering intermediate human-facing output</w:t>
      </w:r>
    </w:p>
    <w:p>
      <w:pPr>
        <w:pStyle w:val="ListParagraph"/>
        <w:numPr>
          <w:ilvl w:val="0"/>
          <w:numId w:val="2"/>
        </w:numPr>
        <w:spacing w:after="100"/>
      </w:pPr>
      <w:r>
        <w:rPr>
          <w:rFonts w:ascii="Arial" w:cs="Arial" w:eastAsia="Arial" w:hAnsi="Arial"/>
          <w:sz w:val="24"/>
          <w:szCs w:val="24"/>
        </w:rPr>
        <w:t xml:space="preserve">Support any media type: audio, video, image, 3D, and future formats not yet defined</w:t>
      </w:r>
    </w:p>
    <w:p>
      <w:r>
        <w:t xml:space="preserve"/>
      </w:r>
    </w:p>
    <w:p>
      <w:pPr>
        <w:spacing w:after="160"/>
      </w:pPr>
      <w:r>
        <w:rPr>
          <w:rFonts w:ascii="Arial" w:cs="Arial" w:eastAsia="Arial" w:hAnsi="Arial"/>
          <w:sz w:val="24"/>
          <w:szCs w:val="24"/>
        </w:rPr>
        <w:t xml:space="preserve">ZERA is therefore not a video codec. It is a universal media primitive — a format that stores information at its mathematical foundation and renders it into any human or machine-readable form on demand.</w:t>
      </w:r>
    </w:p>
    <w:p>
      <w:r>
        <w:t xml:space="preserve"/>
      </w:r>
    </w:p>
    <w:p>
      <w:pPr>
        <w:pStyle w:val="Heading1"/>
      </w:pPr>
      <w:r>
        <w:rPr>
          <w:rFonts w:ascii="Arial" w:cs="Arial" w:eastAsia="Arial" w:hAnsi="Arial"/>
          <w:b/>
          <w:bCs/>
          <w:sz w:val="32"/>
          <w:szCs w:val="32"/>
        </w:rPr>
        <w:t xml:space="preserve">Platform Architecture Overview</w:t>
      </w:r>
    </w:p>
    <w:p>
      <w:r>
        <w:t xml:space="preserve"/>
      </w:r>
    </w:p>
    <w:p>
      <w:pPr>
        <w:pStyle w:val="ListParagraph"/>
        <w:numPr>
          <w:ilvl w:val="0"/>
          <w:numId w:val="2"/>
        </w:numPr>
        <w:spacing w:after="120"/>
      </w:pPr>
      <w:r>
        <w:rPr>
          <w:rFonts w:ascii="Arial" w:cs="Arial" w:eastAsia="Arial" w:hAnsi="Arial"/>
          <w:sz w:val="24"/>
          <w:szCs w:val="24"/>
        </w:rPr>
        <w:t xml:space="preserve">Storage Layer: IPFS content-addressed distribution. One ZERA file per piece of content, identified by cryptographic hash of its latent representation. No central server holds canonical copies.</w:t>
      </w:r>
    </w:p>
    <w:p>
      <w:pPr>
        <w:pStyle w:val="ListParagraph"/>
        <w:numPr>
          <w:ilvl w:val="0"/>
          <w:numId w:val="2"/>
        </w:numPr>
        <w:spacing w:after="120"/>
      </w:pPr>
      <w:r>
        <w:rPr>
          <w:rFonts w:ascii="Arial" w:cs="Arial" w:eastAsia="Arial" w:hAnsi="Arial"/>
          <w:sz w:val="24"/>
          <w:szCs w:val="24"/>
        </w:rPr>
        <w:t xml:space="preserve">Node Layer: Municipal and civic hardware running PeerTube-compatible federation protocol. Nodes are public institutions with existing energy budgets and public accountability.</w:t>
      </w:r>
    </w:p>
    <w:p>
      <w:pPr>
        <w:pStyle w:val="ListParagraph"/>
        <w:numPr>
          <w:ilvl w:val="0"/>
          <w:numId w:val="2"/>
        </w:numPr>
        <w:spacing w:after="120"/>
      </w:pPr>
      <w:r>
        <w:rPr>
          <w:rFonts w:ascii="Arial" w:cs="Arial" w:eastAsia="Arial" w:hAnsi="Arial"/>
          <w:sz w:val="24"/>
          <w:szCs w:val="24"/>
        </w:rPr>
        <w:t xml:space="preserve">Identity Layer: Nostr-compatible decentralized identity. No platform-controlled accounts. Users own their identity keys.</w:t>
      </w:r>
    </w:p>
    <w:p>
      <w:pPr>
        <w:pStyle w:val="ListParagraph"/>
        <w:numPr>
          <w:ilvl w:val="0"/>
          <w:numId w:val="2"/>
        </w:numPr>
        <w:spacing w:after="120"/>
      </w:pPr>
      <w:r>
        <w:rPr>
          <w:rFonts w:ascii="Arial" w:cs="Arial" w:eastAsia="Arial" w:hAnsi="Arial"/>
          <w:sz w:val="24"/>
          <w:szCs w:val="24"/>
        </w:rPr>
        <w:t xml:space="preserve">Energy Layer: Per-node power metering published to an open ledger. Per-stream energy cost displayed to users in real time.</w:t>
      </w:r>
    </w:p>
    <w:p>
      <w:pPr>
        <w:pStyle w:val="ListParagraph"/>
        <w:numPr>
          <w:ilvl w:val="0"/>
          <w:numId w:val="2"/>
        </w:numPr>
        <w:spacing w:after="120"/>
      </w:pPr>
      <w:r>
        <w:rPr>
          <w:rFonts w:ascii="Arial" w:cs="Arial" w:eastAsia="Arial" w:hAnsi="Arial"/>
          <w:sz w:val="24"/>
          <w:szCs w:val="24"/>
        </w:rPr>
        <w:t xml:space="preserve">AI Layer: Open API accepting connections from any AI inference system. Human clients and AI agents treated as equivalent interface peers.</w:t>
      </w:r>
    </w:p>
    <w:p>
      <w:r>
        <w:t xml:space="preserve"/>
      </w:r>
    </w:p>
    <w:p>
      <w:pPr>
        <w:pStyle w:val="Heading1"/>
      </w:pPr>
      <w:r>
        <w:rPr>
          <w:rFonts w:ascii="Arial" w:cs="Arial" w:eastAsia="Arial" w:hAnsi="Arial"/>
          <w:b/>
          <w:bCs/>
          <w:sz w:val="32"/>
          <w:szCs w:val="32"/>
        </w:rPr>
        <w:t xml:space="preserve">Call for Collaboration</w:t>
      </w:r>
    </w:p>
    <w:p>
      <w:pPr>
        <w:spacing w:after="160"/>
      </w:pPr>
      <w:r>
        <w:rPr>
          <w:rFonts w:ascii="Arial" w:cs="Arial" w:eastAsia="Arial" w:hAnsi="Arial"/>
          <w:sz w:val="24"/>
          <w:szCs w:val="24"/>
        </w:rPr>
        <w:t xml:space="preserve">SOWER and the ZERA format specification are being released as open concepts under Apache 2.0 license. The Santa Cruz County technical and academic community — including UCSC, Cabrillo College, and the broader open-source civic tech ecosystem — is invited to participate in:</w:t>
      </w:r>
    </w:p>
    <w:p>
      <w:r>
        <w:t xml:space="preserve"/>
      </w:r>
    </w:p>
    <w:p>
      <w:pPr>
        <w:pStyle w:val="ListParagraph"/>
        <w:numPr>
          <w:ilvl w:val="0"/>
          <w:numId w:val="2"/>
        </w:numPr>
        <w:spacing w:after="100"/>
      </w:pPr>
      <w:r>
        <w:rPr>
          <w:rFonts w:ascii="Arial" w:cs="Arial" w:eastAsia="Arial" w:hAnsi="Arial"/>
          <w:sz w:val="24"/>
          <w:szCs w:val="24"/>
        </w:rPr>
        <w:t xml:space="preserve">ZERA codec research and prototype implementation</w:t>
      </w:r>
    </w:p>
    <w:p>
      <w:pPr>
        <w:pStyle w:val="ListParagraph"/>
        <w:numPr>
          <w:ilvl w:val="0"/>
          <w:numId w:val="2"/>
        </w:numPr>
        <w:spacing w:after="100"/>
      </w:pPr>
      <w:r>
        <w:rPr>
          <w:rFonts w:ascii="Arial" w:cs="Arial" w:eastAsia="Arial" w:hAnsi="Arial"/>
          <w:sz w:val="24"/>
          <w:szCs w:val="24"/>
        </w:rPr>
        <w:t xml:space="preserve">Municipal node pilot deployment with Santa Cruz County institutions</w:t>
      </w:r>
    </w:p>
    <w:p>
      <w:pPr>
        <w:pStyle w:val="ListParagraph"/>
        <w:numPr>
          <w:ilvl w:val="0"/>
          <w:numId w:val="2"/>
        </w:numPr>
        <w:spacing w:after="100"/>
      </w:pPr>
      <w:r>
        <w:rPr>
          <w:rFonts w:ascii="Arial" w:cs="Arial" w:eastAsia="Arial" w:hAnsi="Arial"/>
          <w:sz w:val="24"/>
          <w:szCs w:val="24"/>
        </w:rPr>
        <w:t xml:space="preserve">Energy accounting layer specification</w:t>
      </w:r>
    </w:p>
    <w:p>
      <w:pPr>
        <w:pStyle w:val="ListParagraph"/>
        <w:numPr>
          <w:ilvl w:val="0"/>
          <w:numId w:val="2"/>
        </w:numPr>
        <w:spacing w:after="100"/>
      </w:pPr>
      <w:r>
        <w:rPr>
          <w:rFonts w:ascii="Arial" w:cs="Arial" w:eastAsia="Arial" w:hAnsi="Arial"/>
          <w:sz w:val="24"/>
          <w:szCs w:val="24"/>
        </w:rPr>
        <w:t xml:space="preserve">Minimal UI design and user experience research</w:t>
      </w:r>
    </w:p>
    <w:p>
      <w:pPr>
        <w:pStyle w:val="ListParagraph"/>
        <w:numPr>
          <w:ilvl w:val="0"/>
          <w:numId w:val="2"/>
        </w:numPr>
        <w:spacing w:after="100"/>
      </w:pPr>
      <w:r>
        <w:rPr>
          <w:rFonts w:ascii="Arial" w:cs="Arial" w:eastAsia="Arial" w:hAnsi="Arial"/>
          <w:sz w:val="24"/>
          <w:szCs w:val="24"/>
        </w:rPr>
        <w:t xml:space="preserve">Federation protocol integration with existing PeerTube and ActivityPub infrastructure</w:t>
      </w:r>
    </w:p>
    <w:p>
      <w:r>
        <w:t xml:space="preserve"/>
      </w:r>
    </w:p>
    <w:p>
      <w:pPr>
        <w:spacing w:after="160"/>
      </w:pPr>
      <w:r>
        <w:rPr>
          <w:rFonts w:ascii="Arial" w:cs="Arial" w:eastAsia="Arial" w:hAnsi="Arial"/>
          <w:sz w:val="24"/>
          <w:szCs w:val="24"/>
        </w:rPr>
        <w:t xml:space="preserve">The reference implementation for municipal node infrastructure is the MESA platform, available open-source at: github.com/paulstatchen10-ux/MESA---Municipal-Enterprise-Service-Architecture</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444444"/>
          <w:sz w:val="24"/>
          <w:szCs w:val="24"/>
        </w:rPr>
        <w:t xml:space="preserve">"A sower went out to sow."</w:t>
      </w:r>
    </w:p>
    <w:p>
      <w:pPr>
        <w:spacing w:after="120"/>
        <w:jc w:val="center"/>
      </w:pPr>
      <w:r>
        <w:rPr>
          <w:rFonts w:ascii="Arial" w:cs="Arial" w:eastAsia="Arial" w:hAnsi="Arial"/>
          <w:i/>
          <w:iCs/>
          <w:color w:val="666666"/>
          <w:sz w:val="20"/>
          <w:szCs w:val="20"/>
        </w:rPr>
        <w:t xml:space="preserve">Matthew 13:3  |  The infrastructure belongs to the neighbors.</w:t>
      </w:r>
    </w:p>
    <w:p>
      <w:r>
        <w:t xml:space="preserve"/>
      </w:r>
    </w:p>
    <w:p>
      <w:pPr>
        <w:jc w:val="center"/>
      </w:pPr>
      <w:r>
        <w:rPr>
          <w:rFonts w:ascii="Arial" w:cs="Arial" w:eastAsia="Arial" w:hAnsi="Arial"/>
          <w:color w:val="666666"/>
          <w:sz w:val="20"/>
          <w:szCs w:val="20"/>
        </w:rPr>
        <w:t xml:space="preserve">Contact: Paul Statchen  |  Santa Cruz, CA  |  github.com/paulstatchen10-ux</w:t>
      </w:r>
    </w:p>
    <w:p>
      <w:pPr>
        <w:jc w:val="center"/>
      </w:pPr>
      <w:r>
        <w:rPr>
          <w:rFonts w:ascii="Arial" w:cs="Arial" w:eastAsia="Arial" w:hAnsi="Arial"/>
          <w:color w:val="666666"/>
          <w:sz w:val="20"/>
          <w:szCs w:val="20"/>
        </w:rPr>
        <w:t xml:space="preserve">License: Apache 2.0  |  Copyright 2026 Paul Statchen</w:t>
      </w:r>
    </w:p>
    <w:p>
      <w:r>
        <w:t xml:space="preserve"/>
      </w:r>
    </w:p>
    <w:p>
      <w:pPr>
        <w:pBdr>
          <w:bottom w:val="single" w:color="2E75B6" w:sz="6" w:space="1"/>
        </w:pBdr>
      </w:pPr>
      <w:r>
        <w:t xml:space="preserve"/>
      </w:r>
    </w:p>
    <w:p>
      <w:r>
        <w:t xml:space="preserve"/>
      </w:r>
    </w:p>
    <w:p>
      <w:pPr>
        <w:spacing w:after="80"/>
        <w:jc w:val="center"/>
      </w:pPr>
      <w:r>
        <w:rPr>
          <w:rFonts w:ascii="Arial" w:cs="Arial" w:eastAsia="Arial" w:hAnsi="Arial"/>
          <w:b/>
          <w:bCs/>
          <w:color w:val="444444"/>
          <w:sz w:val="22"/>
          <w:szCs w:val="22"/>
        </w:rPr>
        <w:t xml:space="preserve">AI Collaboration Attribution</w:t>
      </w:r>
    </w:p>
    <w:p>
      <w:pPr>
        <w:spacing w:after="80"/>
        <w:jc w:val="center"/>
      </w:pPr>
      <w:r>
        <w:rPr>
          <w:rFonts w:ascii="Arial" w:cs="Arial" w:eastAsia="Arial" w:hAnsi="Arial"/>
          <w:i/>
          <w:iCs/>
          <w:color w:val="666666"/>
          <w:sz w:val="20"/>
          <w:szCs w:val="20"/>
        </w:rPr>
        <w:t xml:space="preserve">This concept paper was developed in collaborative dialogue with Claude (Anthropic).</w:t>
      </w:r>
    </w:p>
    <w:p>
      <w:pPr>
        <w:spacing w:after="80"/>
        <w:jc w:val="center"/>
      </w:pPr>
      <w:r>
        <w:rPr>
          <w:rFonts w:ascii="Arial" w:cs="Arial" w:eastAsia="Arial" w:hAnsi="Arial"/>
          <w:i/>
          <w:iCs/>
          <w:color w:val="666666"/>
          <w:sz w:val="20"/>
          <w:szCs w:val="20"/>
        </w:rPr>
        <w:t xml:space="preserve">The architectural vision, design constraints, naming (SOWER / ZERA), and civic philosophy are original work by Paul Statchen.</w:t>
      </w:r>
    </w:p>
    <w:p>
      <w:pPr>
        <w:spacing w:after="80"/>
        <w:jc w:val="center"/>
      </w:pPr>
      <w:r>
        <w:rPr>
          <w:rFonts w:ascii="Arial" w:cs="Arial" w:eastAsia="Arial" w:hAnsi="Arial"/>
          <w:i/>
          <w:iCs/>
          <w:color w:val="666666"/>
          <w:sz w:val="20"/>
          <w:szCs w:val="20"/>
        </w:rPr>
        <w:t xml:space="preserve">Claude assisted with technical articulation, format specification language, and document structure.</w:t>
      </w:r>
    </w:p>
    <w:p>
      <w:pPr>
        <w:jc w:val="center"/>
      </w:pPr>
      <w:r>
        <w:rPr>
          <w:rFonts w:ascii="Arial" w:cs="Arial" w:eastAsia="Arial" w:hAnsi="Arial"/>
          <w:i/>
          <w:iCs/>
          <w:color w:val="888888"/>
          <w:sz w:val="20"/>
          <w:szCs w:val="20"/>
        </w:rPr>
        <w:t xml:space="preserve">"The worker is due their wages." — Luke 10:7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2026-06-13T05:47:18.360Z</dcterms:created>
  <dcterms:modified xsi:type="dcterms:W3CDTF">2026-06-13T05:47:18.372Z</dcterms:modified>
</cp:coreProperties>
</file>

<file path=docProps/custom.xml><?xml version="1.0" encoding="utf-8"?>
<Properties xmlns="http://schemas.openxmlformats.org/officeDocument/2006/custom-properties" xmlns:vt="http://schemas.openxmlformats.org/officeDocument/2006/docPropsVTypes"/>
</file>