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408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(courtesy appointments in Political Science, Philosophy)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14:747-787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2017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Two Models of Technological Change in Law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University of Toronto, Centre for Innovation Law and Policy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2017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Ethics of Augmentation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University of Toronto, Centre for Ethics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2017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Author/Respondent for Author Meets Critics session on The Rule of Law in the Real World</w:t>
      </w:r>
      <w:r>
        <w:rPr>
          <w:rFonts w:ascii="Minion Pro" w:hAnsi="Minion Pro"/>
          <w:sz w:val="22"/>
          <w:szCs w:val="22"/>
        </w:rPr>
        <w:t xml:space="preserve">: Annual Meeting of the American Philosophical Association, Central Division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Torts (Fall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2016, Spring 2017)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one S.J.D. committee, and (2016-) adviser to another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Public/Student Presentation, University of Iowa, Student Governmemt/Lecture Committee, "The Unfamiliar Threats to Free Speech"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2017-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two Ph.D. committees and one M.A. committee (philosophy department)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Black Law Students Association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American Constitution Society Student Chapter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Diversity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Honors and Awards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Political Philosophy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Oxford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Panelist: 'Family Law', Iowa LGBT Rural Summit (USDA/National Center for Lesbian Rights/Drake Law School)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'Loving v. Virginia,' African-American Museum of Iowa/Cedar Rapids Public Library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April 3, 2017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April 3, 2017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