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69E27C90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>408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 w:rsidR="002A6DED">
        <w:rPr>
          <w:rFonts w:ascii="Minion Pro" w:hAnsi="Minion Pro" w:cs="MinionPro-Semibold"/>
          <w:sz w:val="18"/>
          <w:szCs w:val="18"/>
        </w:rPr>
        <w:t xml:space="preserve">     paul-gowder@uiowa.edu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Associate Professor of Law (pre-tenure)</w:t>
      </w:r>
    </w:p>
    <w:p w14:paraId="30D18AA3" w14:textId="705E5B37" w:rsidR="002A6DED" w:rsidRDefault="002A6DED" w:rsidP="002A6DED">
      <w:pPr>
        <w:pStyle w:val="Sub-listing"/>
        <w:ind w:left="216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Tenure and promotion approved by College of Law (12/2016) and Provost (3/2017), pe</w:t>
      </w:r>
      <w:r w:rsidR="00516484">
        <w:rPr>
          <w:rFonts w:ascii="Minion Pro" w:hAnsi="Minion Pro"/>
          <w:sz w:val="22"/>
          <w:szCs w:val="22"/>
        </w:rPr>
        <w:t>nding Board of Regents approval</w:t>
      </w:r>
    </w:p>
    <w:p w14:paraId="281D890D" w14:textId="5D4763A8" w:rsidR="00AA2C0D" w:rsidRDefault="00396A76" w:rsidP="00396A76">
      <w:pPr>
        <w:pStyle w:val="Sub-listing"/>
        <w:ind w:left="144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C</w:t>
      </w:r>
      <w:r w:rsidR="00AA2C0D">
        <w:rPr>
          <w:rFonts w:ascii="Minion Pro" w:hAnsi="Minion Pro"/>
          <w:sz w:val="22"/>
          <w:szCs w:val="22"/>
        </w:rPr>
        <w:t>ourtesy appointments i</w:t>
      </w:r>
      <w:r w:rsidR="00516484">
        <w:rPr>
          <w:rFonts w:ascii="Minion Pro" w:hAnsi="Minion Pro"/>
          <w:sz w:val="22"/>
          <w:szCs w:val="22"/>
        </w:rPr>
        <w:t>n Political Science, Philosophy</w:t>
      </w:r>
      <w:bookmarkStart w:id="0" w:name="_GoBack"/>
      <w:bookmarkEnd w:id="0"/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Ph.D. in Political Science</w:t>
      </w:r>
    </w:p>
    <w:p w14:paraId="212B6664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03C8D2" w14:textId="77777777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Harvard University</w:t>
      </w:r>
    </w:p>
    <w:p w14:paraId="413BE67F" w14:textId="77777777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J.D.</w:t>
      </w:r>
    </w:p>
    <w:p w14:paraId="3206778B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D24EE6E" w14:textId="77777777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California State University</w:t>
      </w:r>
    </w:p>
    <w:p w14:paraId="4CDBD11F" w14:textId="77777777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27F25FF7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8584812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0DD19D0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D80E743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1534BC26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322CA3C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DB1121">
        <w:rPr>
          <w:rFonts w:ascii="Minion Pro" w:hAnsi="Minion Pro"/>
          <w:sz w:val="22"/>
          <w:szCs w:val="22"/>
        </w:rPr>
        <w:t>(peer-edited, invited contribution, not blind reviewed)</w:t>
      </w:r>
    </w:p>
    <w:p w14:paraId="08B51DC4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743A3FF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68F74587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33285A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</w:p>
    <w:p w14:paraId="529FFC8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EA6CBC9" w14:textId="77777777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DB1121">
        <w:rPr>
          <w:rFonts w:ascii="Minion Pro" w:hAnsi="Minion Pro"/>
          <w:sz w:val="22"/>
          <w:szCs w:val="22"/>
        </w:rPr>
        <w:t>(supported by the Century Foundation; reprinted in Maret and Goldman, eds., Understanding Government Secrecy: Classic and Contemporary Readings)</w:t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Democratic Paternalism, not Libertarian Paternalism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Georgetown Journal of Law and Public Policy</w:t>
      </w:r>
      <w:r>
        <w:rPr>
          <w:rFonts w:ascii="Minion Pro" w:hAnsi="Minion Pro"/>
          <w:sz w:val="22"/>
          <w:szCs w:val="22"/>
        </w:rPr>
        <w:t xml:space="preserve"> 14:747-787 </w:t>
      </w:r>
    </w:p>
    <w:p w14:paraId="3FE4BF94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5965746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North Carolina Law Review</w:t>
      </w:r>
      <w:r>
        <w:rPr>
          <w:rFonts w:ascii="Minion Pro" w:hAnsi="Minion Pro"/>
          <w:sz w:val="22"/>
          <w:szCs w:val="22"/>
        </w:rPr>
        <w:t xml:space="preserve"> 94(3):751-816 (co-author with Maya Steinitz)</w:t>
      </w:r>
    </w:p>
    <w:p w14:paraId="339EEF59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350F7C7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Texas Law Review See Also</w:t>
      </w:r>
      <w:r>
        <w:rPr>
          <w:rFonts w:ascii="Minion Pro" w:hAnsi="Minion Pro"/>
          <w:sz w:val="22"/>
          <w:szCs w:val="22"/>
        </w:rPr>
        <w:t xml:space="preserve"> 93:247-262 (online law review commentary)</w:t>
      </w:r>
    </w:p>
    <w:p w14:paraId="043E9451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FCCA730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Fordham Law Review</w:t>
      </w:r>
      <w:r>
        <w:rPr>
          <w:rFonts w:ascii="Minion Pro" w:hAnsi="Minion Pro"/>
          <w:sz w:val="22"/>
          <w:szCs w:val="22"/>
        </w:rPr>
        <w:t xml:space="preserve"> 83(6):3155-3177 (invited contribution)</w:t>
      </w:r>
    </w:p>
    <w:p w14:paraId="1936CC62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4B8D76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</w:p>
    <w:p w14:paraId="7B7EDB1B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CA88295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Iowa Law Review</w:t>
      </w:r>
      <w:r>
        <w:rPr>
          <w:rFonts w:ascii="Minion Pro" w:hAnsi="Minion Pro"/>
          <w:sz w:val="22"/>
          <w:szCs w:val="22"/>
        </w:rPr>
        <w:t xml:space="preserve"> 99:1021-1081 </w:t>
      </w:r>
    </w:p>
    <w:p w14:paraId="77A67DFE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3C80BE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Buffalo Law Review</w:t>
      </w:r>
      <w:r>
        <w:rPr>
          <w:rFonts w:ascii="Minion Pro" w:hAnsi="Minion Pro"/>
          <w:sz w:val="22"/>
          <w:szCs w:val="22"/>
        </w:rPr>
        <w:t xml:space="preserve"> 62(1):1-67 </w:t>
      </w:r>
    </w:p>
    <w:p w14:paraId="3123E273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8B31F0F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Transnational Law and Contemporary Problems</w:t>
      </w:r>
      <w:r>
        <w:rPr>
          <w:rFonts w:ascii="Minion Pro" w:hAnsi="Minion Pro"/>
          <w:sz w:val="22"/>
          <w:szCs w:val="22"/>
        </w:rPr>
        <w:t xml:space="preserve"> 23:7-33  (invited contribution)</w:t>
      </w:r>
    </w:p>
    <w:p w14:paraId="1ABB4EA7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EC52C18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Yale Law Journal</w:t>
      </w:r>
      <w:r>
        <w:rPr>
          <w:rFonts w:ascii="Minion Pro" w:hAnsi="Minion Pro"/>
          <w:sz w:val="22"/>
          <w:szCs w:val="22"/>
        </w:rPr>
        <w:t xml:space="preserve"> 115(9):2254-2278 (co-author with K.A.D. Camara)</w:t>
      </w:r>
    </w:p>
    <w:p w14:paraId="0D395CE1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CACD424" w14:textId="77777777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</w:t>
      </w:r>
      <w:r w:rsidRPr="00590AD0">
        <w:rPr>
          <w:rFonts w:ascii="Minion Pro" w:hAnsi="Minion Pro"/>
          <w:sz w:val="22"/>
          <w:szCs w:val="22"/>
        </w:rPr>
        <w:lastRenderedPageBreak/>
        <w:t>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Harvard Journal on Legislation</w:t>
      </w:r>
      <w:r>
        <w:rPr>
          <w:rFonts w:ascii="Minion Pro" w:hAnsi="Minion Pro"/>
          <w:sz w:val="22"/>
          <w:szCs w:val="22"/>
        </w:rPr>
        <w:t xml:space="preserve"> 35:537-559 (major contributor within Harvard Legislative Research Bureau)</w:t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Book Chapters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</w:p>
    <w:p w14:paraId="3D534FF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02F2C9E" w14:textId="77777777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(lightly revised adaptation of 'Death and Taxes in NFIB v. Sebelius')</w:t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Oxford Bibliographies in Political Science </w:t>
      </w:r>
    </w:p>
    <w:p w14:paraId="6CCF6F3B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CEB0F5C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</w:p>
    <w:p w14:paraId="10B9300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B74AD9A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</w:p>
    <w:p w14:paraId="3634A8BD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D3A328E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</w:p>
    <w:p w14:paraId="5CB22788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9A38438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</w:p>
    <w:p w14:paraId="51141CD4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BA2CB9C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</w:p>
    <w:p w14:paraId="7F69C3EF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8EA4BC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</w:p>
    <w:p w14:paraId="56526BFB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305520D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</w:p>
    <w:p w14:paraId="6E299CB4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D6D9961" w14:textId="77777777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t xml:space="preserve">GRANTS, AWARDS AND HONORS </w:t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Institute for Advanced Study, Princeton, NJ: Member (School of Social Science)</w:t>
      </w:r>
    </w:p>
    <w:p w14:paraId="00A1FEFA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1BF5D0A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Law and Public Affairs Program, Princeton University (LAPA/Perkins Fellow, offered but declined)</w:t>
      </w:r>
    </w:p>
    <w:p w14:paraId="05612686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B0F921B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Edmond J. Safra Center for Ethics, Harvard University: Network Fellow</w:t>
      </w:r>
    </w:p>
    <w:p w14:paraId="1F651530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3EAA430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Montreal Political Theory Manuscript Award, Groupe de recherche interuniversitaire en philosophie politique de Montreal (for The Rule of Law in the Real World)</w:t>
      </w:r>
    </w:p>
    <w:p w14:paraId="5BA97F6E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A8F6E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Geballe Dissertation Prize Fellowship, Stanford University</w:t>
      </w:r>
    </w:p>
    <w:p w14:paraId="2EAD3B17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6C0A9D0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Gerhard Casper Stanford Graduate Fellowship</w:t>
      </w:r>
    </w:p>
    <w:p w14:paraId="683F5CD6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1D97A7F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Philanthropy and Civil Society Fellowship, Stanford University</w:t>
      </w:r>
    </w:p>
    <w:p w14:paraId="6F3D4488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C7B12EA" w14:textId="77777777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Williston Contracts Competition (first place), Harvard Law School</w:t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2017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Two Models of Technological Change in Law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University of Toronto, Centre for Innovation Law and Policy </w:t>
      </w:r>
    </w:p>
    <w:p w14:paraId="38915813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AECAC2A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2017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Ethics of Augmentation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University of Toronto, Centre for Ethics </w:t>
      </w:r>
    </w:p>
    <w:p w14:paraId="2495AA3D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CB0BDFB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in the Real World (practitioner-oriented book presentation)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Bar Association, Rule of Law Initiative </w:t>
      </w:r>
    </w:p>
    <w:p w14:paraId="4374F52A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8EE21D3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 </w:t>
      </w:r>
    </w:p>
    <w:p w14:paraId="62948620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6EA57CF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 </w:t>
      </w:r>
    </w:p>
    <w:p w14:paraId="17378667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82BEDF7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 </w:t>
      </w:r>
    </w:p>
    <w:p w14:paraId="585500AF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0081F40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 </w:t>
      </w:r>
    </w:p>
    <w:p w14:paraId="62A3C6BF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00C67D3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 </w:t>
      </w:r>
    </w:p>
    <w:p w14:paraId="36F7ECB5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040BA89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 </w:t>
      </w:r>
    </w:p>
    <w:p w14:paraId="2E41115B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143A601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 </w:t>
      </w:r>
    </w:p>
    <w:p w14:paraId="6B4434F3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2B03E25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 </w:t>
      </w:r>
    </w:p>
    <w:p w14:paraId="2E4CF2A0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904AE27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 </w:t>
      </w:r>
    </w:p>
    <w:p w14:paraId="2399F9B1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50CC7E0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 </w:t>
      </w:r>
    </w:p>
    <w:p w14:paraId="365CCEA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170437F" w14:textId="77777777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Association, Pacific Division (invited commentary on Tomasi, Free Market Fairness)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Conference Presentations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2017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Author/Respondent for Author Meets Critics session on The Rule of Law in the Real World</w:t>
      </w:r>
      <w:r>
        <w:rPr>
          <w:rFonts w:ascii="Minion Pro" w:hAnsi="Minion Pro"/>
          <w:sz w:val="22"/>
          <w:szCs w:val="22"/>
        </w:rPr>
        <w:t xml:space="preserve">: Annual Meeting of the American Philosophical Association, Central Division </w:t>
      </w:r>
    </w:p>
    <w:p w14:paraId="6ADA1169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ADAE4C7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in the Real World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4A87750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A1FD2A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Scalia, Equality, Rule of Law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667A09C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2D4EE41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6DC515D8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CE3DE67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0CD7F4A8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3D17F5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270EE9D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22D067E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45EC42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97BE60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626F27D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D57469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783B8ACE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F490862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4FD361B4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B5828E1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00252E9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D77F04D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6D4A9755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19C8C8A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4DC8834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061A313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5CB9C6A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E07AC38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6766C439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C829D6A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69DDDC1F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F5291C3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DAED3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6F04605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5ABB0B7A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4B4231B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DB3B035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17B9C3A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4E250EA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EB0BFC3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5DB98F8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2C4194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280A1CC6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FE8DF4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0E98A20F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DD9D1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2CE9DB8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2979127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2BA8471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BCAAA7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6DEBAC52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53EB61C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51DD0E7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87FB65B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4683887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F171B0B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7475385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FFFE036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264959DA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708B8B0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54A2367E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E115198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29741B8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518FEA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620AFDD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AB90848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077F9092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D9DF6B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 xml:space="preserve">Campus Talks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185CF66C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1664BF3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0C7C8465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FEFC560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4C73AD92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CD68EA3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1E2AB977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19D12F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417AF8CD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5A7AC90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2C93CCDB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D26BE68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1263754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C95C715" w14:textId="77777777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University of Iowa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Torts (Fall 2016)</w:t>
      </w:r>
      <w:r>
        <w:rPr>
          <w:rFonts w:ascii="Minion Pro" w:hAnsi="Minion Pro"/>
          <w:sz w:val="22"/>
          <w:szCs w:val="22"/>
        </w:rPr>
        <w:t xml:space="preserve"> </w:t>
      </w:r>
    </w:p>
    <w:p w14:paraId="69033842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B922EB1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Constitutional Law I---Structure (Spring 2016, Spring 2017)</w:t>
      </w:r>
      <w:r>
        <w:rPr>
          <w:rFonts w:ascii="Minion Pro" w:hAnsi="Minion Pro"/>
          <w:sz w:val="22"/>
          <w:szCs w:val="22"/>
        </w:rPr>
        <w:t xml:space="preserve"> </w:t>
      </w:r>
    </w:p>
    <w:p w14:paraId="721619A9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4E34EAC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2015-6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Policy Lab (yearlong)</w:t>
      </w:r>
      <w:r>
        <w:rPr>
          <w:rFonts w:ascii="Minion Pro" w:hAnsi="Minion Pro"/>
          <w:sz w:val="22"/>
          <w:szCs w:val="22"/>
        </w:rPr>
        <w:t xml:space="preserve"> </w:t>
      </w:r>
    </w:p>
    <w:p w14:paraId="2F4DF414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C9963B4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Professional Responsibility (Spring 2013, Spring 2014)</w:t>
      </w:r>
      <w:r>
        <w:rPr>
          <w:rFonts w:ascii="Minion Pro" w:hAnsi="Minion Pro"/>
          <w:sz w:val="22"/>
          <w:szCs w:val="22"/>
        </w:rPr>
        <w:t xml:space="preserve"> </w:t>
      </w:r>
    </w:p>
    <w:p w14:paraId="0392D253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29B7D24" w14:textId="77777777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Constitutional Law II---Individual Rights (Fall 2012, Spring 2014, Fall 2015, Fall 2016, continuing)</w:t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lastRenderedPageBreak/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2004-6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Victor M. Glasberg &amp; Associates</w:t>
      </w:r>
      <w:r w:rsidR="009D1EBF">
        <w:rPr>
          <w:rFonts w:ascii="Minion Pro" w:hAnsi="Minion Pro"/>
          <w:sz w:val="22"/>
          <w:szCs w:val="22"/>
        </w:rPr>
        <w:t>, Attorney (civil rights/liberties practice)</w:t>
      </w:r>
    </w:p>
    <w:p w14:paraId="121C9065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CDC1CA6" w14:textId="77777777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Oregon Law Center</w:t>
      </w:r>
      <w:r w:rsidR="009D1EBF">
        <w:rPr>
          <w:rFonts w:ascii="Minion Pro" w:hAnsi="Minion Pro"/>
          <w:sz w:val="22"/>
          <w:szCs w:val="22"/>
        </w:rPr>
        <w:t>, Attorney (low-income legal services practice)</w:t>
      </w:r>
    </w:p>
    <w:p w14:paraId="534401B7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302BB98" w14:textId="77777777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>, Summer Law Clerk</w:t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Service on one S.J.D. committee, and (2016-) adviser to another</w:t>
      </w:r>
    </w:p>
    <w:p w14:paraId="4AE3A88F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AC656FC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Public/Student Presentation, University of Iowa, Student Governmemt/Lecture Committee, "The Unfamiliar Threats to Free Speech"</w:t>
      </w:r>
    </w:p>
    <w:p w14:paraId="4603BDA4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88F09FB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2017-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Service on two Ph.D. committees and one M.A. committee (philosophy department)</w:t>
      </w:r>
    </w:p>
    <w:p w14:paraId="427EAE03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0E67C0A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Faculty Advisor, Black Law Students Association</w:t>
      </w:r>
    </w:p>
    <w:p w14:paraId="75314207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DBF01CC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Faculty Advisor, American Constitution Society Student Chapter</w:t>
      </w:r>
    </w:p>
    <w:p w14:paraId="23B4E7AC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E286EFF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Member, Diversity Committee</w:t>
      </w:r>
    </w:p>
    <w:p w14:paraId="203731B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07ADD60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Member, Honors and Awards Committee</w:t>
      </w:r>
    </w:p>
    <w:p w14:paraId="048B5F94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1DE70FA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Chair, Speakers Committee</w:t>
      </w:r>
    </w:p>
    <w:p w14:paraId="7DA125B4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A306726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2014, 6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Faculty Advisor, AAI Moot Court Problem Creation</w:t>
      </w:r>
    </w:p>
    <w:p w14:paraId="1DF1E0E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34E4F1E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Member, Speakers Committee</w:t>
      </w:r>
    </w:p>
    <w:p w14:paraId="4E3E1122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E241A05" w14:textId="77777777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2012-7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Judge, AAI Moot Court</w:t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Disciplinary Service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Journal of Political Philosophy</w:t>
      </w:r>
    </w:p>
    <w:p w14:paraId="0A071566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CCCACE4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Oxford University Press</w:t>
      </w:r>
    </w:p>
    <w:p w14:paraId="63118191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1A4703E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McGill University Press</w:t>
      </w:r>
    </w:p>
    <w:p w14:paraId="0C72C8D4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A8F1960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British Journal of Political Science</w:t>
      </w:r>
    </w:p>
    <w:p w14:paraId="4ECD3FBB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312CA31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Cambridge University Press</w:t>
      </w:r>
    </w:p>
    <w:p w14:paraId="72E38ACC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E509B83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Columbia University Press</w:t>
      </w:r>
    </w:p>
    <w:p w14:paraId="156ABD8B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AF645E1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South Carolina Law Review</w:t>
      </w:r>
    </w:p>
    <w:p w14:paraId="14E38E0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8CD3CDF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Journal of Legal Analysis</w:t>
      </w:r>
    </w:p>
    <w:p w14:paraId="74A52108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DF13101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European Journal of Political Theory</w:t>
      </w:r>
    </w:p>
    <w:p w14:paraId="28F1F25E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4EBD57D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International Journal of Law and Economics</w:t>
      </w:r>
    </w:p>
    <w:p w14:paraId="466A1857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F34AC13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2013-4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Reviewer, Journal of Politics</w:t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 xml:space="preserve">Community Service and Outreach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Member, Iowa City Telecommunications Commission</w:t>
      </w:r>
    </w:p>
    <w:p w14:paraId="52BA596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5203971C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Panelist: 'Family Law', Iowa LGBT Rural Summit (USDA/National Center for Lesbian Rights/Drake Law School)</w:t>
      </w:r>
    </w:p>
    <w:p w14:paraId="6EC8E1D7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B8CD8B0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Presentation, 'Loving v. Virginia,' African-American Museum of Iowa/Cedar Rapids Public Library</w:t>
      </w:r>
    </w:p>
    <w:p w14:paraId="55619AD9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C7E588B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Presentation, 'The Leadership Rationale,' The Past, Present, &amp; Future of Diversity and Inclusion Within the Central Iowa Legal Community</w:t>
      </w:r>
    </w:p>
    <w:p w14:paraId="36177A94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DC64E71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Presentation, Voting Rights in the United States: Iowa Interfaith Alliance, Intersections speaker series</w:t>
      </w:r>
    </w:p>
    <w:p w14:paraId="7BBC143F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961B4DC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Panelist, Ethical Perspectives on the News: KCRG TV (discussing religion and public life, Hobby Lobby, etc.)</w:t>
      </w:r>
    </w:p>
    <w:p w14:paraId="3464656B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A937957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Editorial, "Court Moves Toward Death for Contraceptive Coverage": Des Moines Register,</w:t>
      </w:r>
    </w:p>
    <w:p w14:paraId="56A2AC5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9B94B42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Guest blogger, Prawfsblawg</w:t>
      </w:r>
    </w:p>
    <w:p w14:paraId="148906C9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7D5FE65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Guest blogger, Concurring Opinions</w:t>
      </w:r>
    </w:p>
    <w:p w14:paraId="178D5D6F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5461EA7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Editorial: "Independent Judiciary": Cedar Rapids Gazette (with Nicholas Johnson)</w:t>
      </w:r>
    </w:p>
    <w:p w14:paraId="0E12B068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E06410C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Presentation: The Law and Ethics of Farm Worker Internships, Cultivating Food Justice Conference</w:t>
      </w:r>
    </w:p>
    <w:p w14:paraId="50FA5D33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FD64079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Editorial: "A Naked Assault on the Public and Courts": Oregon State Bar Journal</w:t>
      </w:r>
    </w:p>
    <w:p w14:paraId="49743EB8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0B96EDBE" w14:textId="77777777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Executive Board Member, Oregon Rural Action</w:t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Python (intermediate), R (intermediate), Clojure (intermediate),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April 3, 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April 3, 2017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516484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A6DED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96A76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1648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2394</Words>
  <Characters>13652</Characters>
  <Application>Microsoft Macintosh Word</Application>
  <DocSecurity>0</DocSecurity>
  <Lines>113</Lines>
  <Paragraphs>32</Paragraphs>
  <ScaleCrop>false</ScaleCrop>
  <Company/>
  <LinksUpToDate>false</LinksUpToDate>
  <CharactersWithSpaces>16014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114</cp:revision>
  <cp:lastPrinted>2016-03-27T19:15:00Z</cp:lastPrinted>
  <dcterms:created xsi:type="dcterms:W3CDTF">2016-03-28T01:21:00Z</dcterms:created>
  <dcterms:modified xsi:type="dcterms:W3CDTF">2017-04-03T23:53:00Z</dcterms:modified>
</cp:coreProperties>
</file>