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July 28,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July 28,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