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187B4" w14:textId="028522F3" w:rsidR="006D7AF2" w:rsidRDefault="00D74B64" w:rsidP="00D74B64">
      <w:pPr>
        <w:pStyle w:val="Heading1"/>
        <w:rPr>
          <w:lang w:val="en-US"/>
        </w:rPr>
      </w:pPr>
      <w:r>
        <w:rPr>
          <w:lang w:val="en-US"/>
        </w:rPr>
        <w:t>DDHT project progress reporting 202</w:t>
      </w:r>
      <w:r w:rsidR="001A2D76">
        <w:rPr>
          <w:lang w:val="en-US"/>
        </w:rPr>
        <w:t>1</w:t>
      </w:r>
    </w:p>
    <w:p w14:paraId="16A2738F" w14:textId="6AF66182" w:rsidR="00540CEE" w:rsidRDefault="00540CEE" w:rsidP="00421E96">
      <w:pPr>
        <w:rPr>
          <w:i/>
          <w:lang w:val="en-US"/>
        </w:rPr>
      </w:pPr>
      <w:r>
        <w:rPr>
          <w:i/>
          <w:lang w:val="en-US"/>
        </w:rPr>
        <w:t>Fill in this template to report on the progress of your DDHT project in 202</w:t>
      </w:r>
      <w:r w:rsidR="001A2D76">
        <w:rPr>
          <w:i/>
          <w:lang w:val="en-US"/>
        </w:rPr>
        <w:t>1</w:t>
      </w:r>
      <w:r>
        <w:rPr>
          <w:i/>
          <w:lang w:val="en-US"/>
        </w:rPr>
        <w:t xml:space="preserve">, using the workplan as submitted in the beginning of the year as basis. More information on the reporting procedure can be found </w:t>
      </w:r>
      <w:r w:rsidR="001E0AC9">
        <w:rPr>
          <w:i/>
          <w:lang w:val="en-US"/>
        </w:rPr>
        <w:t xml:space="preserve">in </w:t>
      </w:r>
      <w:hyperlink r:id="rId8" w:history="1">
        <w:r w:rsidR="001E0AC9" w:rsidRPr="009A2C48">
          <w:rPr>
            <w:rStyle w:val="Hyperlink"/>
            <w:i/>
            <w:lang w:val="en-US"/>
          </w:rPr>
          <w:t>this memo</w:t>
        </w:r>
      </w:hyperlink>
      <w:r w:rsidR="001E0AC9">
        <w:rPr>
          <w:i/>
          <w:lang w:val="en-US"/>
        </w:rPr>
        <w:t xml:space="preserve">. </w:t>
      </w:r>
    </w:p>
    <w:p w14:paraId="6C41B77F" w14:textId="77777777" w:rsidR="00421E96" w:rsidRDefault="00421E96" w:rsidP="00421E96"/>
    <w:p w14:paraId="302963A5" w14:textId="00704541" w:rsidR="00421E96" w:rsidRDefault="00B21AB3" w:rsidP="00421E96">
      <w:pPr>
        <w:pStyle w:val="ListParagraph"/>
        <w:numPr>
          <w:ilvl w:val="0"/>
          <w:numId w:val="1"/>
        </w:numPr>
        <w:rPr>
          <w:i/>
        </w:rPr>
      </w:pPr>
      <w:r w:rsidRPr="00EC2527">
        <w:rPr>
          <w:i/>
        </w:rPr>
        <w:t>P</w:t>
      </w:r>
      <w:r w:rsidR="00421E96" w:rsidRPr="00EC2527">
        <w:rPr>
          <w:i/>
        </w:rPr>
        <w:t>roject title</w:t>
      </w:r>
    </w:p>
    <w:p w14:paraId="6E1D7F3D" w14:textId="3B1E6876" w:rsidR="007D653E" w:rsidRPr="00EC2527" w:rsidRDefault="007D653E" w:rsidP="007D653E">
      <w:pPr>
        <w:pStyle w:val="ListParagraph"/>
        <w:rPr>
          <w:i/>
        </w:rPr>
      </w:pPr>
      <w:r>
        <w:rPr>
          <w:i/>
        </w:rPr>
        <w:t>Automated Breakdown Analysis</w:t>
      </w:r>
    </w:p>
    <w:p w14:paraId="3EE088FC" w14:textId="77777777" w:rsidR="00421E96" w:rsidRPr="00EC2527" w:rsidRDefault="00421E96" w:rsidP="00421E96"/>
    <w:p w14:paraId="46F3EF6F" w14:textId="189A4E29" w:rsidR="00421E96" w:rsidRDefault="00421E96" w:rsidP="00421E96">
      <w:pPr>
        <w:pStyle w:val="ListParagraph"/>
        <w:numPr>
          <w:ilvl w:val="0"/>
          <w:numId w:val="1"/>
        </w:numPr>
        <w:rPr>
          <w:i/>
        </w:rPr>
      </w:pPr>
      <w:r w:rsidRPr="00EC2527">
        <w:rPr>
          <w:i/>
        </w:rPr>
        <w:t>Project leaders</w:t>
      </w:r>
    </w:p>
    <w:p w14:paraId="72B545D2" w14:textId="460A3D37" w:rsidR="007D653E" w:rsidRPr="00EC2527" w:rsidRDefault="007D653E" w:rsidP="007D653E">
      <w:pPr>
        <w:pStyle w:val="ListParagraph"/>
        <w:rPr>
          <w:i/>
        </w:rPr>
      </w:pPr>
      <w:r>
        <w:rPr>
          <w:i/>
        </w:rPr>
        <w:t>Paul van Leeuwen</w:t>
      </w:r>
    </w:p>
    <w:p w14:paraId="17353E88" w14:textId="77777777" w:rsidR="00421E96" w:rsidRPr="00EC2527" w:rsidRDefault="00421E96" w:rsidP="00421E96"/>
    <w:p w14:paraId="70ACACA3" w14:textId="77777777" w:rsidR="00421E96" w:rsidRPr="00EC2527" w:rsidRDefault="00421E96" w:rsidP="00421E96">
      <w:pPr>
        <w:pStyle w:val="ListParagraph"/>
        <w:numPr>
          <w:ilvl w:val="0"/>
          <w:numId w:val="1"/>
        </w:numPr>
        <w:rPr>
          <w:i/>
        </w:rPr>
      </w:pPr>
      <w:r w:rsidRPr="00EC2527">
        <w:rPr>
          <w:i/>
        </w:rPr>
        <w:t>Budget spending</w:t>
      </w:r>
    </w:p>
    <w:p w14:paraId="67319F4B" w14:textId="11DB43BF" w:rsidR="00EC2527" w:rsidRDefault="00B21AB3" w:rsidP="00EC2527">
      <w:pPr>
        <w:rPr>
          <w:lang w:val="en-US"/>
        </w:rPr>
      </w:pPr>
      <w:r>
        <w:t>Indicate the budget spending at time of the progress meeting and your expectation for the end of 202</w:t>
      </w:r>
      <w:r w:rsidR="00870208">
        <w:t>1</w:t>
      </w:r>
      <w:r>
        <w:t xml:space="preserve">. Note </w:t>
      </w:r>
      <w:r w:rsidR="00F105A4">
        <w:t>the</w:t>
      </w:r>
      <w:r>
        <w:t xml:space="preserve"> NAPRO </w:t>
      </w:r>
      <w:r w:rsidR="009A5C47">
        <w:t xml:space="preserve">policy </w:t>
      </w:r>
      <w:r>
        <w:t>for KB-projects</w:t>
      </w:r>
      <w:r w:rsidR="009A5C47">
        <w:t>, i.e. NAPRO is only</w:t>
      </w:r>
      <w:r>
        <w:t xml:space="preserve"> possible in very rare circumstances</w:t>
      </w:r>
      <w:r w:rsidR="009A5C47">
        <w:t>, and never without involvement with PLs and DDHT coordinators</w:t>
      </w:r>
      <w:r>
        <w:t xml:space="preserve"> (</w:t>
      </w:r>
      <w:hyperlink r:id="rId9" w:history="1">
        <w:r w:rsidRPr="00ED542C">
          <w:rPr>
            <w:rStyle w:val="Hyperlink"/>
          </w:rPr>
          <w:t xml:space="preserve">see </w:t>
        </w:r>
        <w:r w:rsidR="00007FB1" w:rsidRPr="00ED542C">
          <w:rPr>
            <w:rStyle w:val="Hyperlink"/>
            <w:lang w:val="en-US"/>
          </w:rPr>
          <w:t>th</w:t>
        </w:r>
        <w:r w:rsidR="004F34FB" w:rsidRPr="00ED542C">
          <w:rPr>
            <w:rStyle w:val="Hyperlink"/>
            <w:lang w:val="en-US"/>
          </w:rPr>
          <w:t>e</w:t>
        </w:r>
        <w:r w:rsidR="00007FB1" w:rsidRPr="00ED542C">
          <w:rPr>
            <w:rStyle w:val="Hyperlink"/>
            <w:lang w:val="en-US"/>
          </w:rPr>
          <w:t xml:space="preserve"> memo</w:t>
        </w:r>
      </w:hyperlink>
      <w:r w:rsidRPr="00B21AB3">
        <w:rPr>
          <w:lang w:val="en-US"/>
        </w:rPr>
        <w:t>)</w:t>
      </w:r>
      <w:r w:rsidR="009A5C47">
        <w:rPr>
          <w:lang w:val="en-US"/>
        </w:rPr>
        <w:t>.</w:t>
      </w:r>
    </w:p>
    <w:p w14:paraId="23C2A4EB" w14:textId="606ECAC7" w:rsidR="007D653E" w:rsidRDefault="00295143" w:rsidP="00EC2527">
      <w:pPr>
        <w:rPr>
          <w:lang w:val="en-US"/>
        </w:rPr>
      </w:pPr>
      <w:r>
        <w:rPr>
          <w:lang w:val="en-US"/>
        </w:rPr>
        <w:t xml:space="preserve">At the moment of writing we have spent 72% of the total budget of € 22477. No NAPRO is expected. </w:t>
      </w:r>
    </w:p>
    <w:p w14:paraId="4305B880" w14:textId="77777777" w:rsidR="004C0D42" w:rsidRPr="004C0D42" w:rsidRDefault="004C0D42" w:rsidP="00EC2527">
      <w:pPr>
        <w:rPr>
          <w:lang w:val="en-US"/>
        </w:rPr>
      </w:pPr>
    </w:p>
    <w:p w14:paraId="75B8E53F" w14:textId="77777777" w:rsidR="00EC2527" w:rsidRPr="00EC2527" w:rsidRDefault="00EC2527" w:rsidP="00EC2527">
      <w:pPr>
        <w:pStyle w:val="ListParagraph"/>
        <w:numPr>
          <w:ilvl w:val="0"/>
          <w:numId w:val="1"/>
        </w:numPr>
        <w:spacing w:line="300" w:lineRule="auto"/>
        <w:rPr>
          <w:i/>
          <w:iCs/>
        </w:rPr>
      </w:pPr>
      <w:r w:rsidRPr="00EC2527">
        <w:rPr>
          <w:i/>
          <w:iCs/>
        </w:rPr>
        <w:t>Progress on deliverables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3900"/>
        <w:gridCol w:w="2754"/>
      </w:tblGrid>
      <w:tr w:rsidR="00EC2527" w14:paraId="116B44A3" w14:textId="77777777" w:rsidTr="007A5F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9C65" w14:textId="5390EA96" w:rsidR="00EC2527" w:rsidRDefault="00EC2527" w:rsidP="007A5F08">
            <w:pPr>
              <w:rPr>
                <w:b/>
                <w:bCs/>
                <w:szCs w:val="17"/>
              </w:rPr>
            </w:pPr>
            <w:r>
              <w:rPr>
                <w:b/>
                <w:bCs/>
                <w:szCs w:val="17"/>
              </w:rPr>
              <w:t>Planned deliverables for 202</w:t>
            </w:r>
            <w:r w:rsidR="00ED542C">
              <w:rPr>
                <w:b/>
                <w:bCs/>
                <w:szCs w:val="17"/>
              </w:rPr>
              <w:t>1</w:t>
            </w:r>
          </w:p>
          <w:p w14:paraId="105FA7EF" w14:textId="77777777" w:rsidR="00EC2527" w:rsidRDefault="00EC2527" w:rsidP="007A5F08">
            <w:pPr>
              <w:rPr>
                <w:b/>
                <w:bCs/>
                <w:szCs w:val="17"/>
              </w:rPr>
            </w:pPr>
            <w:r>
              <w:rPr>
                <w:b/>
                <w:bCs/>
                <w:szCs w:val="17"/>
              </w:rPr>
              <w:t>(from workplan)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C1D" w14:textId="76F699AC" w:rsidR="00EC2527" w:rsidRDefault="00EC2527" w:rsidP="007A5F08">
            <w:pPr>
              <w:rPr>
                <w:b/>
                <w:bCs/>
                <w:szCs w:val="17"/>
              </w:rPr>
            </w:pPr>
            <w:r>
              <w:rPr>
                <w:b/>
                <w:bCs/>
                <w:szCs w:val="17"/>
              </w:rPr>
              <w:t>Products realized in 202</w:t>
            </w:r>
            <w:r w:rsidR="00ED542C">
              <w:rPr>
                <w:b/>
                <w:bCs/>
                <w:szCs w:val="17"/>
              </w:rPr>
              <w:t>1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F888" w14:textId="77777777" w:rsidR="00EC2527" w:rsidRDefault="00EC2527" w:rsidP="007A5F08">
            <w:pPr>
              <w:rPr>
                <w:b/>
                <w:bCs/>
                <w:szCs w:val="17"/>
              </w:rPr>
            </w:pPr>
            <w:r>
              <w:rPr>
                <w:b/>
                <w:bCs/>
                <w:szCs w:val="17"/>
              </w:rPr>
              <w:t>Explanation for any deviations</w:t>
            </w:r>
          </w:p>
        </w:tc>
      </w:tr>
      <w:tr w:rsidR="00EC2527" w14:paraId="6A4D912D" w14:textId="77777777" w:rsidTr="007A5F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6BA1" w14:textId="77777777" w:rsidR="00244B42" w:rsidRDefault="00244B42" w:rsidP="00244B42">
            <w:pPr>
              <w:pStyle w:val="ListParagraph"/>
              <w:numPr>
                <w:ilvl w:val="0"/>
                <w:numId w:val="5"/>
              </w:numPr>
            </w:pPr>
            <w:r>
              <w:t xml:space="preserve">An automated cost pricing calculation method for French-fries potatoes consisting of analysis software (algorithms and scripts to have the data from the FADN interpretable and usable for research). The calculation </w:t>
            </w:r>
            <w:r>
              <w:lastRenderedPageBreak/>
              <w:t xml:space="preserve">method is amenable for generalisation towards other products from both arable farming and other sectors.  </w:t>
            </w:r>
          </w:p>
          <w:p w14:paraId="5B34E2C7" w14:textId="51243DE5" w:rsidR="00EC2527" w:rsidRDefault="00244B42" w:rsidP="00244B42">
            <w:pPr>
              <w:pStyle w:val="ListParagraph"/>
              <w:numPr>
                <w:ilvl w:val="0"/>
                <w:numId w:val="5"/>
              </w:numPr>
            </w:pPr>
            <w:r>
              <w:t>Follow-up plan on how the automated method can be further developed.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D85A" w14:textId="5701ABD7" w:rsidR="00EC2527" w:rsidRDefault="00244B42" w:rsidP="00244B42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Methodology description is finished.</w:t>
            </w:r>
          </w:p>
          <w:p w14:paraId="16ECC3AA" w14:textId="1A1E7FE9" w:rsidR="00244B42" w:rsidRPr="00244B42" w:rsidRDefault="00244B42" w:rsidP="00244B42">
            <w:pPr>
              <w:pStyle w:val="ListParagraph"/>
              <w:rPr>
                <w:rFonts w:cs="Arial"/>
                <w:szCs w:val="17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FC4B" w14:textId="69AE6D1C" w:rsidR="00EC2527" w:rsidRDefault="00244B42" w:rsidP="007A5F08">
            <w:pPr>
              <w:rPr>
                <w:rFonts w:cs="Arial"/>
                <w:szCs w:val="17"/>
              </w:rPr>
            </w:pPr>
            <w:r>
              <w:rPr>
                <w:rFonts w:cs="Arial"/>
                <w:szCs w:val="17"/>
              </w:rPr>
              <w:t xml:space="preserve">First the analysis software needs to be implemented before we can make a proper follow-up plan for then we know what to further develop. The implementation is not yet done as we are dependent on Team </w:t>
            </w:r>
            <w:proofErr w:type="spellStart"/>
            <w:r>
              <w:rPr>
                <w:rFonts w:cs="Arial"/>
                <w:szCs w:val="17"/>
              </w:rPr>
              <w:t>Blauw</w:t>
            </w:r>
            <w:proofErr w:type="spellEnd"/>
            <w:r>
              <w:rPr>
                <w:rFonts w:cs="Arial"/>
                <w:szCs w:val="17"/>
              </w:rPr>
              <w:t xml:space="preserve"> of the </w:t>
            </w:r>
            <w:proofErr w:type="spellStart"/>
            <w:r>
              <w:rPr>
                <w:rFonts w:cs="Arial"/>
                <w:szCs w:val="17"/>
              </w:rPr>
              <w:t>OpenUp</w:t>
            </w:r>
            <w:proofErr w:type="spellEnd"/>
            <w:r>
              <w:rPr>
                <w:rFonts w:cs="Arial"/>
                <w:szCs w:val="17"/>
              </w:rPr>
              <w:t xml:space="preserve"> programme.</w:t>
            </w:r>
          </w:p>
        </w:tc>
      </w:tr>
      <w:tr w:rsidR="00EC2527" w14:paraId="73EB3C77" w14:textId="77777777" w:rsidTr="007A5F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5393" w14:textId="584B71AA" w:rsidR="00EC2527" w:rsidRDefault="00D02434" w:rsidP="007A5F08">
            <w:pPr>
              <w:rPr>
                <w:i/>
              </w:rPr>
            </w:pPr>
            <w:r>
              <w:rPr>
                <w:i/>
              </w:rPr>
              <w:t>-If possible indicate spin-off deliverables that were completed that were not described in the workplan-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FB47" w14:textId="77777777" w:rsidR="00EC2527" w:rsidRDefault="00EC2527" w:rsidP="007A5F08"/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BA91" w14:textId="77777777" w:rsidR="00EC2527" w:rsidRDefault="00EC2527" w:rsidP="007A5F08">
            <w:pPr>
              <w:rPr>
                <w:rFonts w:cs="Arial"/>
                <w:szCs w:val="17"/>
              </w:rPr>
            </w:pPr>
          </w:p>
        </w:tc>
      </w:tr>
    </w:tbl>
    <w:p w14:paraId="1CE46E83" w14:textId="6AE43525" w:rsidR="004C0D42" w:rsidRDefault="004C0D42" w:rsidP="00EC2527"/>
    <w:p w14:paraId="4FD7AD9F" w14:textId="77777777" w:rsidR="004C0D42" w:rsidRDefault="004C0D42" w:rsidP="00EC2527"/>
    <w:p w14:paraId="6F4C13BD" w14:textId="77777777" w:rsidR="004C0D42" w:rsidRDefault="004C0D42" w:rsidP="004C0D42">
      <w:pPr>
        <w:pStyle w:val="ListParagraph"/>
        <w:numPr>
          <w:ilvl w:val="0"/>
          <w:numId w:val="1"/>
        </w:numPr>
        <w:spacing w:line="300" w:lineRule="auto"/>
      </w:pPr>
      <w:r>
        <w:rPr>
          <w:i/>
          <w:iCs/>
        </w:rPr>
        <w:t>Contribution to the 4 pillars of the DDHT programme</w:t>
      </w:r>
    </w:p>
    <w:p w14:paraId="549E2927" w14:textId="1FD377B3" w:rsidR="004C0D42" w:rsidRDefault="004C0D42" w:rsidP="004C0D42">
      <w:r>
        <w:t xml:space="preserve">Please describe the overall activities and results over the year 2020 in connection to how they contributed to the 4 pillars (see also </w:t>
      </w:r>
      <w:hyperlink r:id="rId10" w:history="1">
        <w:r w:rsidRPr="003D70D8">
          <w:rPr>
            <w:rStyle w:val="Hyperlink"/>
          </w:rPr>
          <w:t>the DDHT programme plan</w:t>
        </w:r>
      </w:hyperlink>
      <w:r w:rsidR="009A2C48">
        <w:t>).</w:t>
      </w:r>
      <w:r>
        <w:t xml:space="preserve"> </w:t>
      </w:r>
      <w:r w:rsidR="00C967B6">
        <w:t>(</w:t>
      </w:r>
      <w:r w:rsidR="00BA5994">
        <w:t>C</w:t>
      </w:r>
      <w:r w:rsidR="00047BF7">
        <w:t>an be partly copied from previous workplan.</w:t>
      </w:r>
      <w:r w:rsidR="00C967B6">
        <w:t xml:space="preserve">) </w:t>
      </w:r>
    </w:p>
    <w:p w14:paraId="529DA1CC" w14:textId="77777777" w:rsidR="004C0D42" w:rsidRDefault="004C0D42" w:rsidP="004C0D42">
      <w:r>
        <w:t xml:space="preserve">If relevant, indicate deviations from the activities as described in your submitted workplan and provide contexts for the changes that were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7401"/>
      </w:tblGrid>
      <w:tr w:rsidR="004C0D42" w14:paraId="7ACDDBD6" w14:textId="77777777" w:rsidTr="00DF0D24">
        <w:tc>
          <w:tcPr>
            <w:tcW w:w="1668" w:type="dxa"/>
          </w:tcPr>
          <w:p w14:paraId="0454E6C8" w14:textId="77777777" w:rsidR="004C0D42" w:rsidRPr="00B94B6B" w:rsidRDefault="004C0D42" w:rsidP="00DF0D24">
            <w:pPr>
              <w:rPr>
                <w:i/>
              </w:rPr>
            </w:pPr>
            <w:r>
              <w:rPr>
                <w:i/>
              </w:rPr>
              <w:t>Pillar</w:t>
            </w:r>
          </w:p>
        </w:tc>
        <w:tc>
          <w:tcPr>
            <w:tcW w:w="7620" w:type="dxa"/>
          </w:tcPr>
          <w:p w14:paraId="482627B3" w14:textId="77777777" w:rsidR="004C0D42" w:rsidRPr="00B94B6B" w:rsidRDefault="004C0D42" w:rsidP="00DF0D24">
            <w:pPr>
              <w:rPr>
                <w:i/>
              </w:rPr>
            </w:pPr>
            <w:r w:rsidRPr="00B94B6B">
              <w:rPr>
                <w:i/>
              </w:rPr>
              <w:t>Activities &amp; results</w:t>
            </w:r>
          </w:p>
        </w:tc>
      </w:tr>
      <w:tr w:rsidR="004C0D42" w14:paraId="3C8EDD8A" w14:textId="77777777" w:rsidTr="00DF0D24">
        <w:tc>
          <w:tcPr>
            <w:tcW w:w="1668" w:type="dxa"/>
          </w:tcPr>
          <w:p w14:paraId="46778A77" w14:textId="77777777" w:rsidR="004C0D42" w:rsidRDefault="004C0D42" w:rsidP="00DF0D24">
            <w:r>
              <w:t xml:space="preserve">Explainable AI and data driven </w:t>
            </w:r>
          </w:p>
          <w:p w14:paraId="7307DC75" w14:textId="77777777" w:rsidR="004C0D42" w:rsidRDefault="004C0D42" w:rsidP="00DF0D24">
            <w:r>
              <w:t>analytics</w:t>
            </w:r>
          </w:p>
        </w:tc>
        <w:tc>
          <w:tcPr>
            <w:tcW w:w="7620" w:type="dxa"/>
          </w:tcPr>
          <w:p w14:paraId="0FA15D8F" w14:textId="6AFFE4ED" w:rsidR="004C0D42" w:rsidRDefault="00244B42" w:rsidP="00DF0D24">
            <w:r>
              <w:t>Time series can be automatically analysed using sophisticated machine learning techniques. That results in advanced analyses that can be fully explained.</w:t>
            </w:r>
          </w:p>
        </w:tc>
      </w:tr>
      <w:tr w:rsidR="004C0D42" w14:paraId="48AE14DA" w14:textId="77777777" w:rsidTr="00DF0D24">
        <w:tc>
          <w:tcPr>
            <w:tcW w:w="1668" w:type="dxa"/>
          </w:tcPr>
          <w:p w14:paraId="4FD5BF83" w14:textId="77777777" w:rsidR="004C0D42" w:rsidRDefault="004C0D42" w:rsidP="00DF0D24">
            <w:r>
              <w:t>Robotics &amp; decision support</w:t>
            </w:r>
          </w:p>
        </w:tc>
        <w:tc>
          <w:tcPr>
            <w:tcW w:w="7620" w:type="dxa"/>
          </w:tcPr>
          <w:p w14:paraId="5620F043" w14:textId="77777777" w:rsidR="004C0D42" w:rsidRDefault="004C0D42" w:rsidP="00DF0D24"/>
        </w:tc>
      </w:tr>
      <w:tr w:rsidR="004C0D42" w14:paraId="28F06253" w14:textId="77777777" w:rsidTr="00DF0D24">
        <w:tc>
          <w:tcPr>
            <w:tcW w:w="1668" w:type="dxa"/>
          </w:tcPr>
          <w:p w14:paraId="5962D938" w14:textId="77777777" w:rsidR="004C0D42" w:rsidRDefault="004C0D42" w:rsidP="00DF0D24">
            <w:r w:rsidRPr="00B94B6B">
              <w:t>Shared data infrastructures</w:t>
            </w:r>
          </w:p>
        </w:tc>
        <w:tc>
          <w:tcPr>
            <w:tcW w:w="7620" w:type="dxa"/>
          </w:tcPr>
          <w:p w14:paraId="40341402" w14:textId="135FB47F" w:rsidR="004C0D42" w:rsidRDefault="00614543" w:rsidP="00DF0D24">
            <w:r>
              <w:t xml:space="preserve">This tooling is embedded in the WUR </w:t>
            </w:r>
            <w:proofErr w:type="spellStart"/>
            <w:r>
              <w:t>OpenUp</w:t>
            </w:r>
            <w:proofErr w:type="spellEnd"/>
            <w:r>
              <w:t xml:space="preserve"> programme, resulting in sophisticated dashboarding of a variety of many datasets.</w:t>
            </w:r>
          </w:p>
        </w:tc>
      </w:tr>
      <w:tr w:rsidR="004C0D42" w14:paraId="2CD92221" w14:textId="77777777" w:rsidTr="00DF0D24">
        <w:tc>
          <w:tcPr>
            <w:tcW w:w="1668" w:type="dxa"/>
          </w:tcPr>
          <w:p w14:paraId="28F8DC93" w14:textId="77777777" w:rsidR="004C0D42" w:rsidRDefault="004C0D42" w:rsidP="00DF0D24">
            <w:r w:rsidRPr="00B94B6B">
              <w:t>Society &amp; business aspects</w:t>
            </w:r>
          </w:p>
        </w:tc>
        <w:tc>
          <w:tcPr>
            <w:tcW w:w="7620" w:type="dxa"/>
          </w:tcPr>
          <w:p w14:paraId="6E32C5BF" w14:textId="0EF6A719" w:rsidR="004C0D42" w:rsidRDefault="00614543" w:rsidP="00DF0D24">
            <w:r>
              <w:t>Developments in time series can be deeper analysed, such as what causes a jump in the cost price. Furthermore, indicators that hint at a crisis, such as the corona crisis, could act as early warning signals.</w:t>
            </w:r>
          </w:p>
        </w:tc>
      </w:tr>
    </w:tbl>
    <w:p w14:paraId="55D88AA7" w14:textId="30D43A03" w:rsidR="004C0D42" w:rsidRDefault="004C0D42" w:rsidP="00EC2527"/>
    <w:p w14:paraId="58C2570F" w14:textId="77777777" w:rsidR="001F4D28" w:rsidRDefault="001F4D28" w:rsidP="00EC2527"/>
    <w:p w14:paraId="7BF8708D" w14:textId="77777777" w:rsidR="00EC2527" w:rsidRPr="00EC2527" w:rsidRDefault="00EC2527" w:rsidP="004C0D42">
      <w:pPr>
        <w:pStyle w:val="ListParagraph"/>
        <w:numPr>
          <w:ilvl w:val="0"/>
          <w:numId w:val="1"/>
        </w:numPr>
        <w:spacing w:line="300" w:lineRule="auto"/>
        <w:rPr>
          <w:i/>
        </w:rPr>
      </w:pPr>
      <w:r w:rsidRPr="00EC2527">
        <w:rPr>
          <w:i/>
        </w:rPr>
        <w:t>Impact</w:t>
      </w:r>
    </w:p>
    <w:p w14:paraId="53E1BE46" w14:textId="71C7B242" w:rsidR="00614543" w:rsidRDefault="00614543" w:rsidP="00EC2527">
      <w:r>
        <w:t xml:space="preserve">Meeting so far between the two project participants (Jamal Roskam and Paul van Leeuwen), the members of the </w:t>
      </w:r>
      <w:proofErr w:type="spellStart"/>
      <w:r>
        <w:t>OpenUp</w:t>
      </w:r>
      <w:proofErr w:type="spellEnd"/>
      <w:r>
        <w:t xml:space="preserve"> programme, and sector experts.</w:t>
      </w:r>
    </w:p>
    <w:p w14:paraId="2A2E328E" w14:textId="77777777" w:rsidR="00EC2527" w:rsidRPr="00EC2527" w:rsidRDefault="00EC2527" w:rsidP="004C0D42">
      <w:pPr>
        <w:pStyle w:val="ListParagraph"/>
        <w:numPr>
          <w:ilvl w:val="0"/>
          <w:numId w:val="1"/>
        </w:numPr>
        <w:spacing w:line="300" w:lineRule="auto"/>
        <w:rPr>
          <w:i/>
        </w:rPr>
      </w:pPr>
      <w:r w:rsidRPr="00EC2527">
        <w:rPr>
          <w:i/>
        </w:rPr>
        <w:t>Lessons learned for the remainder of the programme</w:t>
      </w:r>
    </w:p>
    <w:p w14:paraId="174FBB51" w14:textId="59164248" w:rsidR="00D74B64" w:rsidRPr="00D10F1E" w:rsidRDefault="00614543" w:rsidP="00FC4926">
      <w:r>
        <w:t>Everything went as expected. We intend to collaborate with sector experts next year.</w:t>
      </w:r>
    </w:p>
    <w:sectPr w:rsidR="00D74B64" w:rsidRPr="00D10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152CA"/>
    <w:multiLevelType w:val="hybridMultilevel"/>
    <w:tmpl w:val="B4EE940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E75D3"/>
    <w:multiLevelType w:val="hybridMultilevel"/>
    <w:tmpl w:val="228A6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15E1"/>
    <w:multiLevelType w:val="hybridMultilevel"/>
    <w:tmpl w:val="C9B25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620A"/>
    <w:multiLevelType w:val="hybridMultilevel"/>
    <w:tmpl w:val="C8A26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F7AA2"/>
    <w:multiLevelType w:val="hybridMultilevel"/>
    <w:tmpl w:val="26E689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94F97"/>
    <w:multiLevelType w:val="hybridMultilevel"/>
    <w:tmpl w:val="A6D610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64"/>
    <w:rsid w:val="00007FB1"/>
    <w:rsid w:val="00047BF7"/>
    <w:rsid w:val="001A2D76"/>
    <w:rsid w:val="001E0AC9"/>
    <w:rsid w:val="001F4D28"/>
    <w:rsid w:val="0022296A"/>
    <w:rsid w:val="00244B42"/>
    <w:rsid w:val="0027148F"/>
    <w:rsid w:val="00295143"/>
    <w:rsid w:val="003470E9"/>
    <w:rsid w:val="00372B29"/>
    <w:rsid w:val="003D70D8"/>
    <w:rsid w:val="00421E96"/>
    <w:rsid w:val="004C0D42"/>
    <w:rsid w:val="004F34FB"/>
    <w:rsid w:val="00540CEE"/>
    <w:rsid w:val="00614543"/>
    <w:rsid w:val="00644CEA"/>
    <w:rsid w:val="006D7AF2"/>
    <w:rsid w:val="007D653E"/>
    <w:rsid w:val="00870208"/>
    <w:rsid w:val="009A2C48"/>
    <w:rsid w:val="009A5C47"/>
    <w:rsid w:val="00AA56AD"/>
    <w:rsid w:val="00B21AB3"/>
    <w:rsid w:val="00B94B6B"/>
    <w:rsid w:val="00BA5994"/>
    <w:rsid w:val="00BF427A"/>
    <w:rsid w:val="00C456F1"/>
    <w:rsid w:val="00C646E7"/>
    <w:rsid w:val="00C967B6"/>
    <w:rsid w:val="00D02434"/>
    <w:rsid w:val="00D10F1E"/>
    <w:rsid w:val="00D74B64"/>
    <w:rsid w:val="00E177A4"/>
    <w:rsid w:val="00E25DAD"/>
    <w:rsid w:val="00E62DF9"/>
    <w:rsid w:val="00EB276C"/>
    <w:rsid w:val="00EC2527"/>
    <w:rsid w:val="00ED542C"/>
    <w:rsid w:val="00ED7A5A"/>
    <w:rsid w:val="00F105A4"/>
    <w:rsid w:val="00F121BC"/>
    <w:rsid w:val="00FC4926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8181"/>
  <w15:chartTrackingRefBased/>
  <w15:docId w15:val="{CA317EF4-03B1-4AA2-A65C-E949D902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E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1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E9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21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4B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6B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DA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3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point.wur.nl/sites/wdcc/ddhtprog/_layouts/15/WopiFrame.aspx?sourcedoc=%7bC295BF27-90DD-4F43-A9BB-61A73A92AE53%7d&amp;file=Memo_progressmeetingprocedureDDHT2020.docx&amp;action=defaul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ageningenur4.sharepoint.com/:w:/r/sites/WageningenDataCompetenceCenter/ddhtprog/Shared%20Documents/a)%20General%20Information/2019/E.%20Data%20Driven%20High%20Tech.docx?d=wda62f76e63f240a49df481b51a20003f&amp;csf=1&amp;web=1&amp;e=5oUkyj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ageningenur4.sharepoint.com/:w:/r/sites/WageningenDataCompetenceCenter/ddhtprog/Shared%20Documents/e)%20Evaluation/templates%20progress%20monitoring%202020%20and%20workplans%202021/Memo_progressmeetingprocedureDDHT2021.docx?d=w6ed58e167d434c1bb408dc5fc2bd7e38&amp;csf=1&amp;web=1&amp;e=bIdN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ad74f3d-ba66-4ae9-aa73-b0cb62f9a5fd">
      <UserInfo>
        <DisplayName>Kamphuis, Claudia</DisplayName>
        <AccountId>120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B0F3DE343F842ABD1161437F6E2FF" ma:contentTypeVersion="7" ma:contentTypeDescription="Create a new document." ma:contentTypeScope="" ma:versionID="81b92ee865f400c3ba2ba24171027efa">
  <xsd:schema xmlns:xsd="http://www.w3.org/2001/XMLSchema" xmlns:xs="http://www.w3.org/2001/XMLSchema" xmlns:p="http://schemas.microsoft.com/office/2006/metadata/properties" xmlns:ns2="0ad74f3d-ba66-4ae9-aa73-b0cb62f9a5fd" xmlns:ns3="be627a8f-c894-4747-8354-d902b166e8d0" targetNamespace="http://schemas.microsoft.com/office/2006/metadata/properties" ma:root="true" ma:fieldsID="8ae132272d2f72476eba5a494bcbdac5" ns2:_="" ns3:_="">
    <xsd:import namespace="0ad74f3d-ba66-4ae9-aa73-b0cb62f9a5fd"/>
    <xsd:import namespace="be627a8f-c894-4747-8354-d902b166e8d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74f3d-ba66-4ae9-aa73-b0cb62f9a5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27a8f-c894-4747-8354-d902b166e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19DAA0-2FA4-42BE-8313-575EBC4FE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E7E5E8-4E08-4F33-8CB0-A649D4DED009}">
  <ds:schemaRefs>
    <ds:schemaRef ds:uri="http://schemas.microsoft.com/office/2006/metadata/properties"/>
    <ds:schemaRef ds:uri="http://schemas.microsoft.com/office/infopath/2007/PartnerControls"/>
    <ds:schemaRef ds:uri="0ad74f3d-ba66-4ae9-aa73-b0cb62f9a5fd"/>
  </ds:schemaRefs>
</ds:datastoreItem>
</file>

<file path=customXml/itemProps3.xml><?xml version="1.0" encoding="utf-8"?>
<ds:datastoreItem xmlns:ds="http://schemas.openxmlformats.org/officeDocument/2006/customXml" ds:itemID="{E1D304AA-441E-4CF8-B9F8-BD8EFF456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d74f3d-ba66-4ae9-aa73-b0cb62f9a5fd"/>
    <ds:schemaRef ds:uri="be627a8f-c894-4747-8354-d902b166e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Lotte de</dc:creator>
  <cp:keywords/>
  <dc:description/>
  <cp:lastModifiedBy>Leeuwen, Paul2 van</cp:lastModifiedBy>
  <cp:revision>3</cp:revision>
  <dcterms:created xsi:type="dcterms:W3CDTF">2021-10-14T07:17:00Z</dcterms:created>
  <dcterms:modified xsi:type="dcterms:W3CDTF">2021-10-14T07:17:00Z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0x010100F69B0F3DE343F842ABD1161437F6E2FF</vt:lpwstr>
  </property>
</Properties>
</file>