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GlucoSense CGM — EU MDR Technical Documentation</w:t>
      </w:r>
    </w:p>
    <w:p>
      <w:pPr>
        <w:jc w:val="center"/>
      </w:pPr>
      <w:r>
        <w:rPr>
          <w:i/>
          <w:sz w:val="20"/>
        </w:rPr>
        <w:t>Manufacturer: Veridian Diagnostics  |  Regulation: EU_MDR  |  Device class: IIb  |  Status: FINAL — SHIPPED  |  Generated: 2026-08-12</w:t>
      </w:r>
    </w:p>
    <w:p>
      <w:r>
        <w:br w:type="page"/>
      </w:r>
    </w:p>
    <w:p>
      <w:pPr>
        <w:pStyle w:val="Heading1"/>
      </w:pPr>
      <w:r>
        <w:t>1. Device Description and Specification</w:t>
      </w:r>
    </w:p>
    <w:p>
      <w:r>
        <w:t>GlucoSense CGM (the device) is a wearable, skin-adhered continuous glucose monitoring system manufactured by Veridian Diagnostics. The device consists of a disposable sensor filament, inserted subcutaneously via a single-use applicator, and a reusable Bluetooth transmitter that attaches to the sensor housing on the upper arm.</w:t>
      </w:r>
    </w:p>
    <w:p>
      <w:r>
        <w:t>Intended purpose: continuous, real-time monitoring of interstitial glucose levels in adults with diabetes, to support treatment decisions. The device is not intended to replace self-monitoring of blood glucose for calibration-critical decisions, per the warnings in Section 5.</w:t>
      </w:r>
    </w:p>
    <w:p>
      <w:r>
        <w:t>The sensor measures interstitial glucose every 5 minutes over a 14-day wear period and transmits readings to a companion mobile application via Bluetooth Low Energy.</w:t>
      </w:r>
    </w:p>
    <w:p>
      <w:r>
        <w:t>Classification: the device is classified as Class IIb under Annex VIII, Rule 10, as an active device intended to monitor vital physiological parameters where the nature of variations could result in immediate danger to the patient.</w:t>
      </w:r>
    </w:p>
    <w:p>
      <w:pPr>
        <w:pStyle w:val="Heading1"/>
      </w:pPr>
      <w:r>
        <w:t>2. General Safety and Performance Requirements (GSPR) Checklist</w:t>
      </w:r>
    </w:p>
    <w:p>
      <w:r>
        <w:t>GSPR 1 (General safety and performance): the device achieves its intended performance and does not compromise the clinical condition or safety of patients, as demonstrated in the Phase III pivotal trial (Section 4).</w:t>
      </w:r>
    </w:p>
    <w:p>
      <w:r>
        <w:t>GSPR 3 (Risk-benefit): identified risks (Section 3) are outweighed by the benefit of continuous, real-time glucose visibility over periodic fingerstick testing.</w:t>
      </w:r>
    </w:p>
    <w:p>
      <w:r>
        <w:t>GSPR 8 (Infection and microbial contamination): the sensor filament is supplied sterile (ethylene oxide), single-use, with a validated 18-month shelf life.</w:t>
      </w:r>
    </w:p>
    <w:p>
      <w:r>
        <w:t>GSPR 14.2 (Software): the companion application and transmitter firmware conform to IEC 62304 software lifecycle requirements; verification records are held in the software file.</w:t>
      </w:r>
    </w:p>
    <w:p>
      <w:r>
        <w:t>GSPR 23 (Information supplied by the manufacturer): labeling and instructions for use meet the requirements of Annex I, Chapter III (Section 5).</w:t>
      </w:r>
    </w:p>
    <w:p>
      <w:pPr>
        <w:pStyle w:val="Heading1"/>
      </w:pPr>
      <w:r>
        <w:t>3. Risk Management Summary</w:t>
      </w:r>
    </w:p>
    <w:p>
      <w:r>
        <w:t>Risk management for GlucoSense CGM was conducted in accordance with ISO 14971, covering the device lifecycle from sensor insertion through disposal.</w:t>
      </w:r>
    </w:p>
    <w:p>
      <w:r>
        <w:t>Skin irritation at the sensor site: mitigated by a hypoallergenic, medical-grade adhesive validated for 14-day continuous wear; residual risk rated acceptable.</w:t>
      </w:r>
    </w:p>
    <w:p>
      <w:r>
        <w:t>Bluetooth transmission dropout: mitigated by automatic reconnection with up to 3 retry attempts and a local 20-minute data buffer on the transmitter.</w:t>
      </w:r>
    </w:p>
    <w:p>
      <w:r>
        <w:t>Calibration drift: mitigated by factory calibration and a mandatory 24-hour warm-up period before the device reports readings.</w:t>
      </w:r>
    </w:p>
    <w:p>
      <w:r>
        <w:t>No unacceptable residual risks were identified. All risk-control measures were verified as implemented in the final design.</w:t>
      </w:r>
    </w:p>
    <w:p>
      <w:pPr>
        <w:pStyle w:val="Heading1"/>
      </w:pPr>
      <w:r>
        <w:t>4. Clinical Evaluation Summary</w:t>
      </w:r>
    </w:p>
    <w:p>
      <w:r>
        <w:t>Clinical evidence for GlucoSense CGM is drawn from a Phase III pivotal trial of 312 adult participants with type 1 or type 2 diabetes, each wearing the device for a full 14-day cycle against a reference venous glucose standard.</w:t>
      </w:r>
    </w:p>
    <w:p>
      <w:r>
        <w:t>Primary endpoint: Mean Absolute Relative Difference (MARD) of 8.7% against reference venous glucose, consistent with published performance for comparable CE-marked continuous glucose monitors.</w:t>
      </w:r>
    </w:p>
    <w:p>
      <w:r>
        <w:t>Secondary endpoints: sensor survival through the full 14-day wear period, and time-in-range concordance with reference measurement, both within pre-specified acceptance criteria.</w:t>
      </w:r>
    </w:p>
    <w:p>
      <w:r>
        <w:t>No device-related serious adverse events were reported. The clinical evaluation concludes that the available evidence demonstrates conformity with the relevant GSPRs for the stated intended purpose.</w:t>
      </w:r>
    </w:p>
    <w:p>
      <w:pPr>
        <w:pStyle w:val="Heading1"/>
      </w:pPr>
      <w:r>
        <w:t>5. Labeling and Instructions for Use</w:t>
      </w:r>
    </w:p>
    <w:p>
      <w:r>
        <w:t>Labeling for GlucoSense CGM is provided on the sensor applicator packaging, the transmitter, and within the companion mobile application, in accordance with Annex I, Chapter III and Annex II(1)(a)(vi).</w:t>
      </w:r>
    </w:p>
    <w:p>
      <w:r>
        <w:t>The Instructions for Use include: intended purpose and intended patient population; step-by-step sensor application; the mandatory 24-hour warm-up period; guidance to confirm with a fingerstick test before a treatment decision if a symptom doesn't match the displayed reading; and disposal of the used sensor filament as sharps waste.</w:t>
      </w:r>
    </w:p>
    <w:p>
      <w:r>
        <w:t>Labeling is provided in the official language(s) of each EU target market, per Article 10(11).</w:t>
      </w:r>
    </w:p>
    <w:p>
      <w:pPr>
        <w:pStyle w:val="Heading1"/>
      </w:pPr>
      <w:r>
        <w:t>6. Post-Market Surveillance Plan (Summary)</w:t>
      </w:r>
    </w:p>
    <w:p>
      <w:r>
        <w:t>Veridian Diagnostics maintains a Post-Market Surveillance (PMS) system for GlucoSense CGM in accordance with Article 83 and Annex III, proportionate to the device's risk class.</w:t>
      </w:r>
    </w:p>
    <w:p>
      <w:r>
        <w:t>Data sources: customer complaints, opt-in app error-reporting telemetry, sensor-return analysis, and literature surveillance for comparable continuous glucose monitors.</w:t>
      </w:r>
    </w:p>
    <w:p>
      <w:r>
        <w:t>The PMS Plan defines a Periodic Safety Update Report cadence of every two years for this Class IIb device, per Article 86, with escalation to a Field Safety Corrective Action if trend analysis identifies a significant shift in sensor accuracy.</w:t>
      </w:r>
    </w:p>
    <w:p>
      <w:r>
        <w:t>The Post-Market Clinical Follow-up plan includes a real-world accuracy registry drawing from de-identified companion-app data to confirm MARD performance is maintained post-launch.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