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20"/>
          <w:szCs w:val="20"/>
        </w:rPr>
        <w:t xml:space="preserve">APPROVED — WORKFLOW PROPOSAL</w:t>
      </w:r>
    </w:p>
    <w:p>
      <w:pPr>
        <w:spacing w:after="60"/>
      </w:pPr>
      <w:r>
        <w:rPr>
          <w:b/>
          <w:bCs/>
          <w:sz w:val="34"/>
          <w:szCs w:val="34"/>
        </w:rPr>
        <w:t xml:space="preserve">From Phase 3 / Pivotal Data to Submission-Ready Medical Writing</w:t>
      </w:r>
    </w:p>
    <w:p>
      <w:pPr>
        <w:spacing w:after="240"/>
      </w:pPr>
      <w:r>
        <w:rPr>
          <w:i/>
          <w:iCs/>
          <w:color w:val="6B7280"/>
          <w:sz w:val="19"/>
          <w:szCs w:val="19"/>
        </w:rPr>
        <w:t xml:space="preserve">Proposed end-to-end operating workflow for the APProved medical writing platform  ·  Prepared August 11, 2026</w:t>
      </w:r>
    </w:p>
    <w:p>
      <w:pPr>
        <w:spacing w:after="120" w:line="288"/>
      </w:pPr>
      <w:r>
        <w:rPr>
          <w:color w:val="1A1A1A"/>
          <w:sz w:val="21"/>
          <w:szCs w:val="21"/>
        </w:rPr>
        <w:t xml:space="preserve">APProved ingests Phase 3 or pivotal study data and turns it into regulatory- and field-ready medical writing: Global Value Dossiers, MSL scientific materials, and submission documents, mapped to the requirements of each target regulatory authority. The workflow below sequences the platform's existing modules — data intake, regulation selection, AI drafting, human review, compliance approval, localization, the document library, and submission — into a single repeatable pipeline with one clear approval gate and an audit trail from raw data to final document.</w:t>
      </w:r>
    </w:p>
    <w:p>
      <w:pPr>
        <w:pBdr>
          <w:bottom w:val="single" w:color="E5E7EB" w:sz="4" w:space="4"/>
        </w:pBdr>
        <w:spacing w:after="80" w:before="260"/>
      </w:pPr>
      <w:r>
        <w:rPr>
          <w:b/>
          <w:bCs/>
          <w:color w:val="2563EB"/>
        </w:rPr>
        <w:t xml:space="preserve">1  </w:t>
      </w:r>
      <w:r>
        <w:rPr>
          <w:b/>
          <w:bCs/>
          <w:sz w:val="26"/>
          <w:szCs w:val="26"/>
        </w:rPr>
        <w:t xml:space="preserve">Configure the workspace</w:t>
      </w:r>
    </w:p>
    <w:p>
      <w:pPr>
        <w:spacing w:after="120" w:line="288"/>
      </w:pPr>
      <w:r>
        <w:rPr>
          <w:color w:val="1A1A1A"/>
          <w:sz w:val="21"/>
          <w:szCs w:val="21"/>
        </w:rPr>
        <w:t xml:space="preserve">An administrator sets the regulatory track (Global vs. Local Affiliate), invites the team, and assigns roles — Administrator, Medical Writer, Medical Science Liaison, Compliance Officer — each with a distinct permission set. Brand guidelines (corporate template, tone rules) and device/product classification are captured once, up front, so every document generated downstream is immediately on-brand and correctly scoped.</w:t>
      </w:r>
    </w:p>
    <w:p>
      <w:pPr>
        <w:spacing w:after="200"/>
      </w:pPr>
      <w:r>
        <w:rPr>
          <w:b/>
          <w:bCs/>
          <w:color w:val="6B7280"/>
          <w:sz w:val="18"/>
          <w:szCs w:val="18"/>
        </w:rPr>
        <w:t xml:space="preserve">Role(s): </w:t>
      </w:r>
      <w:r>
        <w:rPr>
          <w:b/>
          <w:bCs/>
          <w:color w:val="4338CA"/>
          <w:sz w:val="16"/>
          <w:szCs w:val="16"/>
          <w:shd w:fill="EEF2FF" w:val="clear"/>
        </w:rPr>
        <w:t xml:space="preserve">  Admin  </w:t>
      </w:r>
    </w:p>
    <w:p>
      <w:pPr>
        <w:pBdr>
          <w:bottom w:val="single" w:color="E5E7EB" w:sz="4" w:space="4"/>
        </w:pBdr>
        <w:spacing w:after="80" w:before="260"/>
      </w:pPr>
      <w:r>
        <w:rPr>
          <w:b/>
          <w:bCs/>
          <w:color w:val="2563EB"/>
        </w:rPr>
        <w:t xml:space="preserve">2  </w:t>
      </w:r>
      <w:r>
        <w:rPr>
          <w:b/>
          <w:bCs/>
          <w:sz w:val="26"/>
          <w:szCs w:val="26"/>
        </w:rPr>
        <w:t xml:space="preserve">Ingest Phase 3 / pivotal data</w:t>
      </w:r>
    </w:p>
    <w:p>
      <w:pPr>
        <w:spacing w:after="120" w:line="288"/>
      </w:pPr>
      <w:r>
        <w:rPr>
          <w:color w:val="1A1A1A"/>
          <w:sz w:val="21"/>
          <w:szCs w:val="21"/>
        </w:rPr>
        <w:t xml:space="preserve">The Medical Writer uploads trial data — CSV, XLSX, PDF, or DOCX, up to 100MB per file — into a closed-loop, encrypted environment (AES-256, SOC 2 Type II, HIPAA and GDPR compliant). Data is never used to train the underlying models and every access is logged. This upload is the single source of truth that every downstream document traces back to.</w:t>
      </w:r>
    </w:p>
    <w:p>
      <w:pPr>
        <w:spacing w:after="200"/>
      </w:pPr>
      <w:r>
        <w:rPr>
          <w:b/>
          <w:bCs/>
          <w:color w:val="6B7280"/>
          <w:sz w:val="18"/>
          <w:szCs w:val="18"/>
        </w:rPr>
        <w:t xml:space="preserve">Role(s): </w:t>
      </w:r>
      <w:r>
        <w:rPr>
          <w:b/>
          <w:bCs/>
          <w:color w:val="047857"/>
          <w:sz w:val="16"/>
          <w:szCs w:val="16"/>
          <w:shd w:fill="ECFDF5" w:val="clear"/>
        </w:rPr>
        <w:t xml:space="preserve">  Medical Writer  </w:t>
      </w:r>
    </w:p>
    <w:p>
      <w:pPr>
        <w:pBdr>
          <w:bottom w:val="single" w:color="E5E7EB" w:sz="4" w:space="4"/>
        </w:pBdr>
        <w:spacing w:after="80" w:before="260"/>
      </w:pPr>
      <w:r>
        <w:rPr>
          <w:b/>
          <w:bCs/>
          <w:color w:val="2563EB"/>
        </w:rPr>
        <w:t xml:space="preserve">3  </w:t>
      </w:r>
      <w:r>
        <w:rPr>
          <w:b/>
          <w:bCs/>
          <w:sz w:val="26"/>
          <w:szCs w:val="26"/>
        </w:rPr>
        <w:t xml:space="preserve">Select target regulations &amp; track policy changes</w:t>
      </w:r>
    </w:p>
    <w:p>
      <w:pPr>
        <w:spacing w:after="120" w:line="288"/>
      </w:pPr>
      <w:r>
        <w:rPr>
          <w:color w:val="1A1A1A"/>
          <w:sz w:val="21"/>
          <w:szCs w:val="21"/>
        </w:rPr>
        <w:t xml:space="preserve">The team selects which regulatory frameworks apply — FDA, EMA, PMDA, NMPA, Health Canada, TGA, ICH — and the platform surfaces each authority's key requirements (CTD format, module structure, product monograph, risk management plan, etc.). A live Policy &amp; Regulatory News feed, filterable by agency, flags guidance changes as they're published so drafts stay current rather than going stale between upload and submission.</w:t>
      </w:r>
    </w:p>
    <w:p>
      <w:pPr>
        <w:spacing w:after="200"/>
      </w:pPr>
      <w:r>
        <w:rPr>
          <w:b/>
          <w:bCs/>
          <w:color w:val="6B7280"/>
          <w:sz w:val="18"/>
          <w:szCs w:val="18"/>
        </w:rPr>
        <w:t xml:space="preserve">Role(s): </w:t>
      </w:r>
      <w:r>
        <w:rPr>
          <w:b/>
          <w:bCs/>
          <w:color w:val="047857"/>
          <w:sz w:val="16"/>
          <w:szCs w:val="16"/>
          <w:shd w:fill="ECFDF5" w:val="clear"/>
        </w:rPr>
        <w:t xml:space="preserve">  Medical Writer  </w:t>
      </w:r>
    </w:p>
    <w:p>
      <w:pPr>
        <w:pBdr>
          <w:bottom w:val="single" w:color="E5E7EB" w:sz="4" w:space="4"/>
        </w:pBdr>
        <w:spacing w:after="80" w:before="260"/>
      </w:pPr>
      <w:r>
        <w:rPr>
          <w:b/>
          <w:bCs/>
          <w:color w:val="2563EB"/>
        </w:rPr>
        <w:t xml:space="preserve">4  </w:t>
      </w:r>
      <w:r>
        <w:rPr>
          <w:b/>
          <w:bCs/>
          <w:sz w:val="26"/>
          <w:szCs w:val="26"/>
        </w:rPr>
        <w:t xml:space="preserve">AI-draft the dossier and MSL materials</w:t>
      </w:r>
    </w:p>
    <w:p>
      <w:pPr>
        <w:spacing w:after="120" w:line="288"/>
      </w:pPr>
      <w:r>
        <w:rPr>
          <w:color w:val="1A1A1A"/>
          <w:sz w:val="21"/>
          <w:szCs w:val="21"/>
        </w:rPr>
        <w:t xml:space="preserve">With data and frameworks set, AI generates two parallel outputs from the same source data: a Global Value Dossier (executive summary, disease and epidemiology, clinical evidence, and further sections, configured by therapeutic area, target market, language and output format) and MSL field materials (scoped by audience, focus area, tone — scientific, balanced, or accessible — and key messages), rendered directly into the uploaded corporate template so output is field-ready, not just drafted.</w:t>
      </w:r>
    </w:p>
    <w:p>
      <w:pPr>
        <w:spacing w:after="200"/>
      </w:pPr>
      <w:r>
        <w:rPr>
          <w:b/>
          <w:bCs/>
          <w:color w:val="6B7280"/>
          <w:sz w:val="18"/>
          <w:szCs w:val="18"/>
        </w:rPr>
        <w:t xml:space="preserve">Role(s): </w:t>
      </w:r>
      <w:r>
        <w:rPr>
          <w:b/>
          <w:bCs/>
          <w:color w:val="C2410C"/>
          <w:sz w:val="16"/>
          <w:szCs w:val="16"/>
          <w:shd w:fill="FFF7ED" w:val="clear"/>
        </w:rPr>
        <w:t xml:space="preserve">  AI Engine  </w:t>
      </w:r>
    </w:p>
    <w:p>
      <w:pPr>
        <w:pBdr>
          <w:bottom w:val="single" w:color="E5E7EB" w:sz="4" w:space="4"/>
        </w:pBdr>
        <w:spacing w:after="80" w:before="260"/>
      </w:pPr>
      <w:r>
        <w:rPr>
          <w:b/>
          <w:bCs/>
          <w:color w:val="2563EB"/>
        </w:rPr>
        <w:t xml:space="preserve">5  </w:t>
      </w:r>
      <w:r>
        <w:rPr>
          <w:b/>
          <w:bCs/>
          <w:sz w:val="26"/>
          <w:szCs w:val="26"/>
        </w:rPr>
        <w:t xml:space="preserve">Medical writer review &amp; edit</w:t>
      </w:r>
    </w:p>
    <w:p>
      <w:pPr>
        <w:spacing w:after="120" w:line="288"/>
      </w:pPr>
      <w:r>
        <w:rPr>
          <w:color w:val="1A1A1A"/>
          <w:sz w:val="21"/>
          <w:szCs w:val="21"/>
        </w:rPr>
        <w:t xml:space="preserve">The Medical Writer checks every AI-generated claim against the source data and house style, and edits directly in-platform. MSLs may preview generated materials for field readiness but cannot alter scientific or medical text blocks — that lock exists specifically to stop unauthorized changes to content that will carry regulatory weight.</w:t>
      </w:r>
    </w:p>
    <w:p>
      <w:pPr>
        <w:spacing w:after="200"/>
      </w:pPr>
      <w:r>
        <w:rPr>
          <w:b/>
          <w:bCs/>
          <w:color w:val="6B7280"/>
          <w:sz w:val="18"/>
          <w:szCs w:val="18"/>
        </w:rPr>
        <w:t xml:space="preserve">Role(s): </w:t>
      </w:r>
      <w:r>
        <w:rPr>
          <w:b/>
          <w:bCs/>
          <w:color w:val="047857"/>
          <w:sz w:val="16"/>
          <w:szCs w:val="16"/>
          <w:shd w:fill="ECFDF5" w:val="clear"/>
        </w:rPr>
        <w:t xml:space="preserve">  Medical Writer  </w:t>
      </w:r>
      <w:r>
        <w:rPr>
          <w:sz w:val="18"/>
          <w:szCs w:val="18"/>
        </w:rPr>
        <w:t xml:space="preserve">   </w:t>
      </w:r>
      <w:r>
        <w:rPr>
          <w:b/>
          <w:bCs/>
          <w:color w:val="6D28D9"/>
          <w:sz w:val="16"/>
          <w:szCs w:val="16"/>
          <w:shd w:fill="F5F3FF" w:val="clear"/>
        </w:rPr>
        <w:t xml:space="preserve">  MSL — view only  </w:t>
      </w:r>
    </w:p>
    <w:p>
      <w:pPr>
        <w:pBdr>
          <w:bottom w:val="single" w:color="E5E7EB" w:sz="4" w:space="4"/>
        </w:pBdr>
        <w:spacing w:after="80" w:before="260"/>
      </w:pPr>
      <w:r>
        <w:rPr>
          <w:b/>
          <w:bCs/>
          <w:color w:val="2563EB"/>
        </w:rPr>
        <w:t xml:space="preserve">6  </w:t>
      </w:r>
      <w:r>
        <w:rPr>
          <w:b/>
          <w:bCs/>
          <w:sz w:val="26"/>
          <w:szCs w:val="26"/>
        </w:rPr>
        <w:t xml:space="preserve">Compliance approval gate</w:t>
      </w:r>
    </w:p>
    <w:p>
      <w:pPr>
        <w:spacing w:after="120" w:line="288"/>
      </w:pPr>
      <w:r>
        <w:rPr>
          <w:color w:val="1A1A1A"/>
          <w:sz w:val="21"/>
          <w:szCs w:val="21"/>
        </w:rPr>
        <w:t xml:space="preserve">No document reaches Final status without explicit Compliance Officer sign-off. This is the one mandatory gate in the pipeline: it is where regulatory alignment is checked before a dossier or MSL piece can be localized, published, or submitted, and every approval, edit, and status change is captured in the audit trail behind it.</w:t>
      </w:r>
    </w:p>
    <w:p>
      <w:pPr>
        <w:spacing w:after="200"/>
      </w:pPr>
      <w:r>
        <w:rPr>
          <w:b/>
          <w:bCs/>
          <w:color w:val="6B7280"/>
          <w:sz w:val="18"/>
          <w:szCs w:val="18"/>
        </w:rPr>
        <w:t xml:space="preserve">Role(s): </w:t>
      </w:r>
      <w:r>
        <w:rPr>
          <w:b/>
          <w:bCs/>
          <w:color w:val="B91C1C"/>
          <w:sz w:val="16"/>
          <w:szCs w:val="16"/>
          <w:shd w:fill="FEF2F2" w:val="clear"/>
        </w:rPr>
        <w:t xml:space="preserve">  Compliance Officer  </w:t>
      </w:r>
    </w:p>
    <w:p>
      <w:pPr>
        <w:pBdr>
          <w:bottom w:val="single" w:color="E5E7EB" w:sz="4" w:space="4"/>
        </w:pBdr>
        <w:spacing w:after="80" w:before="260"/>
      </w:pPr>
      <w:r>
        <w:rPr>
          <w:b/>
          <w:bCs/>
          <w:color w:val="2563EB"/>
        </w:rPr>
        <w:t xml:space="preserve">7  </w:t>
      </w:r>
      <w:r>
        <w:rPr>
          <w:b/>
          <w:bCs/>
          <w:sz w:val="26"/>
          <w:szCs w:val="26"/>
        </w:rPr>
        <w:t xml:space="preserve">Localize for each target market</w:t>
      </w:r>
    </w:p>
    <w:p>
      <w:pPr>
        <w:spacing w:after="120" w:line="288"/>
      </w:pPr>
      <w:r>
        <w:rPr>
          <w:color w:val="1A1A1A"/>
          <w:sz w:val="21"/>
          <w:szCs w:val="21"/>
        </w:rPr>
        <w:t xml:space="preserve">Once approved, the source document is adapted into each market's language (the prototype shows English, French and German variants of the same oncology dossier) and, where relevant, mapped against regional tender specifications uploaded by the local affiliate — so a Global track output can still land correctly in a Local Affiliate submission.</w:t>
      </w:r>
    </w:p>
    <w:p>
      <w:pPr>
        <w:spacing w:after="200"/>
      </w:pPr>
      <w:r>
        <w:rPr>
          <w:b/>
          <w:bCs/>
          <w:color w:val="6B7280"/>
          <w:sz w:val="18"/>
          <w:szCs w:val="18"/>
        </w:rPr>
        <w:t xml:space="preserve">Role(s): </w:t>
      </w:r>
      <w:r>
        <w:rPr>
          <w:b/>
          <w:bCs/>
          <w:color w:val="047857"/>
          <w:sz w:val="16"/>
          <w:szCs w:val="16"/>
          <w:shd w:fill="ECFDF5" w:val="clear"/>
        </w:rPr>
        <w:t xml:space="preserve">  Medical Writer  </w:t>
      </w:r>
    </w:p>
    <w:p>
      <w:pPr>
        <w:pBdr>
          <w:bottom w:val="single" w:color="E5E7EB" w:sz="4" w:space="4"/>
        </w:pBdr>
        <w:spacing w:after="80" w:before="260"/>
      </w:pPr>
      <w:r>
        <w:rPr>
          <w:b/>
          <w:bCs/>
          <w:color w:val="2563EB"/>
        </w:rPr>
        <w:t xml:space="preserve">8  </w:t>
      </w:r>
      <w:r>
        <w:rPr>
          <w:b/>
          <w:bCs/>
          <w:sz w:val="26"/>
          <w:szCs w:val="26"/>
        </w:rPr>
        <w:t xml:space="preserve">Publish to the document library</w:t>
      </w:r>
    </w:p>
    <w:p>
      <w:pPr>
        <w:spacing w:after="120" w:line="288"/>
      </w:pPr>
      <w:r>
        <w:rPr>
          <w:color w:val="1A1A1A"/>
          <w:sz w:val="21"/>
          <w:szCs w:val="21"/>
        </w:rPr>
        <w:t xml:space="preserve">Final, approved documents are versioned and indexed by market/regulation, document type, and language, so any team member can filter, preview, and download exactly the variant they need without re-requesting it from the writer who produced it.</w:t>
      </w:r>
    </w:p>
    <w:p>
      <w:pPr>
        <w:spacing w:after="200"/>
      </w:pPr>
      <w:r>
        <w:rPr>
          <w:b/>
          <w:bCs/>
          <w:color w:val="6B7280"/>
          <w:sz w:val="18"/>
          <w:szCs w:val="18"/>
        </w:rPr>
        <w:t xml:space="preserve">Role(s): </w:t>
      </w:r>
      <w:r>
        <w:rPr>
          <w:b/>
          <w:bCs/>
          <w:color w:val="4338CA"/>
          <w:sz w:val="16"/>
          <w:szCs w:val="16"/>
          <w:shd w:fill="EEF2FF" w:val="clear"/>
        </w:rPr>
        <w:t xml:space="preserve">  All roles  </w:t>
      </w:r>
    </w:p>
    <w:p>
      <w:pPr>
        <w:pBdr>
          <w:bottom w:val="single" w:color="E5E7EB" w:sz="4" w:space="4"/>
        </w:pBdr>
        <w:spacing w:after="80" w:before="260"/>
      </w:pPr>
      <w:r>
        <w:rPr>
          <w:b/>
          <w:bCs/>
          <w:color w:val="2563EB"/>
        </w:rPr>
        <w:t xml:space="preserve">9  </w:t>
      </w:r>
      <w:r>
        <w:rPr>
          <w:b/>
          <w:bCs/>
          <w:sz w:val="26"/>
          <w:szCs w:val="26"/>
        </w:rPr>
        <w:t xml:space="preserve">Submit &amp; monitor</w:t>
      </w:r>
    </w:p>
    <w:p>
      <w:pPr>
        <w:spacing w:after="120" w:line="288"/>
      </w:pPr>
      <w:r>
        <w:rPr>
          <w:color w:val="1A1A1A"/>
          <w:sz w:val="21"/>
          <w:szCs w:val="21"/>
        </w:rPr>
        <w:t xml:space="preserve">The finished package moves to submission and its status is tracked on the dashboard alongside documents generated and time saved. Because the Policy &amp; Regulatory News feed keeps running after submission, a guidance change that affects an already-approved document routes it back to Step 4 for re-drafting rather than forcing a restart of the whole pipeline.</w:t>
      </w:r>
    </w:p>
    <w:p>
      <w:pPr>
        <w:spacing w:after="200"/>
      </w:pPr>
      <w:r>
        <w:rPr>
          <w:b/>
          <w:bCs/>
          <w:color w:val="6B7280"/>
          <w:sz w:val="18"/>
          <w:szCs w:val="18"/>
        </w:rPr>
        <w:t xml:space="preserve">Role(s): </w:t>
      </w:r>
      <w:r>
        <w:rPr>
          <w:b/>
          <w:bCs/>
          <w:color w:val="4338CA"/>
          <w:sz w:val="16"/>
          <w:szCs w:val="16"/>
          <w:shd w:fill="EEF2FF" w:val="clear"/>
        </w:rPr>
        <w:t xml:space="preserve">  Admin  </w:t>
      </w:r>
    </w:p>
    <w:p>
      <w:pPr>
        <w:pStyle w:val="Heading1"/>
        <w:spacing w:after="120" w:before="160"/>
      </w:pPr>
      <w:r>
        <w:t xml:space="preserve">Roles &amp; guardrails</w:t>
      </w:r>
    </w:p>
    <w:p>
      <w:pPr>
        <w:spacing w:after="120" w:line="288"/>
      </w:pPr>
      <w:r>
        <w:rPr>
          <w:color w:val="1A1A1A"/>
          <w:sz w:val="21"/>
          <w:szCs w:val="21"/>
        </w:rPr>
        <w:t xml:space="preserve">The permission model enforces separation of duties across the pipeline above: writers can create and edit, MSLs can consume but not alter approved science, and only Compliance can promote a document to Final.</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3720"/>
        <w:gridCol w:w="3720"/>
      </w:tblGrid>
      <w:tr>
        <w:tc>
          <w:tcPr>
            <w:tcW w:type="dxa" w:w="2600"/>
            <w:shd w:fill="F3F4F6" w:val="clear"/>
            <w:tcMar>
              <w:top w:type="dxa" w:w="100"/>
              <w:left w:type="dxa" w:w="120"/>
              <w:bottom w:type="dxa" w:w="100"/>
              <w:right w:type="dxa" w:w="120"/>
            </w:tcMar>
          </w:tcPr>
          <w:p>
            <w:r>
              <w:rPr>
                <w:b/>
                <w:bCs/>
                <w:color w:val="1A1A1A"/>
                <w:sz w:val="19"/>
                <w:szCs w:val="19"/>
              </w:rPr>
              <w:t xml:space="preserve">Role</w:t>
            </w:r>
          </w:p>
        </w:tc>
        <w:tc>
          <w:tcPr>
            <w:tcW w:type="dxa" w:w="3720"/>
            <w:shd w:fill="F3F4F6" w:val="clear"/>
            <w:tcMar>
              <w:top w:type="dxa" w:w="100"/>
              <w:left w:type="dxa" w:w="120"/>
              <w:bottom w:type="dxa" w:w="100"/>
              <w:right w:type="dxa" w:w="120"/>
            </w:tcMar>
          </w:tcPr>
          <w:p>
            <w:r>
              <w:rPr>
                <w:b/>
                <w:bCs/>
                <w:color w:val="1A1A1A"/>
                <w:sz w:val="19"/>
                <w:szCs w:val="19"/>
              </w:rPr>
              <w:t xml:space="preserve">Can</w:t>
            </w:r>
          </w:p>
        </w:tc>
        <w:tc>
          <w:tcPr>
            <w:tcW w:type="dxa" w:w="3720"/>
            <w:shd w:fill="F3F4F6" w:val="clear"/>
            <w:tcMar>
              <w:top w:type="dxa" w:w="100"/>
              <w:left w:type="dxa" w:w="120"/>
              <w:bottom w:type="dxa" w:w="100"/>
              <w:right w:type="dxa" w:w="120"/>
            </w:tcMar>
          </w:tcPr>
          <w:p>
            <w:r>
              <w:rPr>
                <w:b/>
                <w:bCs/>
                <w:color w:val="1A1A1A"/>
                <w:sz w:val="19"/>
                <w:szCs w:val="19"/>
              </w:rPr>
              <w:t xml:space="preserve">Cannot</w:t>
            </w:r>
          </w:p>
        </w:tc>
      </w:tr>
      <w:tr>
        <w:tc>
          <w:tcPr>
            <w:tcW w:type="dxa" w:w="2600"/>
            <w:tcMar>
              <w:top w:type="dxa" w:w="100"/>
              <w:left w:type="dxa" w:w="120"/>
              <w:bottom w:type="dxa" w:w="100"/>
              <w:right w:type="dxa" w:w="120"/>
            </w:tcMar>
          </w:tcPr>
          <w:p>
            <w:r>
              <w:rPr>
                <w:b w:val="false"/>
                <w:bCs w:val="false"/>
                <w:color w:val="6B7280"/>
                <w:sz w:val="19"/>
                <w:szCs w:val="19"/>
              </w:rPr>
              <w:t xml:space="preserve">Administrator</w:t>
            </w:r>
          </w:p>
        </w:tc>
        <w:tc>
          <w:tcPr>
            <w:tcW w:type="dxa" w:w="3720"/>
            <w:tcMar>
              <w:top w:type="dxa" w:w="100"/>
              <w:left w:type="dxa" w:w="120"/>
              <w:bottom w:type="dxa" w:w="100"/>
              <w:right w:type="dxa" w:w="120"/>
            </w:tcMar>
          </w:tcPr>
          <w:p>
            <w:r>
              <w:rPr>
                <w:b w:val="false"/>
                <w:bCs w:val="false"/>
                <w:color w:val="6B7280"/>
                <w:sz w:val="19"/>
                <w:szCs w:val="19"/>
              </w:rPr>
              <w:t xml:space="preserve">Everything below, plus manage brand guidelines and team permissions</w:t>
            </w:r>
          </w:p>
        </w:tc>
        <w:tc>
          <w:tcPr>
            <w:tcW w:type="dxa" w:w="3720"/>
            <w:tcMar>
              <w:top w:type="dxa" w:w="100"/>
              <w:left w:type="dxa" w:w="120"/>
              <w:bottom w:type="dxa" w:w="100"/>
              <w:right w:type="dxa" w:w="120"/>
            </w:tcMar>
          </w:tcPr>
          <w:p>
            <w:r>
              <w:rPr>
                <w:b w:val="false"/>
                <w:bCs w:val="false"/>
                <w:color w:val="6B7280"/>
                <w:sz w:val="19"/>
                <w:szCs w:val="19"/>
              </w:rPr>
              <w:t xml:space="preserve">—</w:t>
            </w:r>
          </w:p>
        </w:tc>
      </w:tr>
      <w:tr>
        <w:tc>
          <w:tcPr>
            <w:tcW w:type="dxa" w:w="2600"/>
            <w:tcMar>
              <w:top w:type="dxa" w:w="100"/>
              <w:left w:type="dxa" w:w="120"/>
              <w:bottom w:type="dxa" w:w="100"/>
              <w:right w:type="dxa" w:w="120"/>
            </w:tcMar>
          </w:tcPr>
          <w:p>
            <w:r>
              <w:rPr>
                <w:b w:val="false"/>
                <w:bCs w:val="false"/>
                <w:color w:val="6B7280"/>
                <w:sz w:val="19"/>
                <w:szCs w:val="19"/>
              </w:rPr>
              <w:t xml:space="preserve">Medical Writer</w:t>
            </w:r>
          </w:p>
        </w:tc>
        <w:tc>
          <w:tcPr>
            <w:tcW w:type="dxa" w:w="3720"/>
            <w:tcMar>
              <w:top w:type="dxa" w:w="100"/>
              <w:left w:type="dxa" w:w="120"/>
              <w:bottom w:type="dxa" w:w="100"/>
              <w:right w:type="dxa" w:w="120"/>
            </w:tcMar>
          </w:tcPr>
          <w:p>
            <w:r>
              <w:rPr>
                <w:b w:val="false"/>
                <w:bCs w:val="false"/>
                <w:color w:val="6B7280"/>
                <w:sz w:val="19"/>
                <w:szCs w:val="19"/>
              </w:rPr>
              <w:t xml:space="preserve">Upload data, edit and approve-eligible draft documents, export, modify approved text blocks</w:t>
            </w:r>
          </w:p>
        </w:tc>
        <w:tc>
          <w:tcPr>
            <w:tcW w:type="dxa" w:w="3720"/>
            <w:tcMar>
              <w:top w:type="dxa" w:w="100"/>
              <w:left w:type="dxa" w:w="120"/>
              <w:bottom w:type="dxa" w:w="100"/>
              <w:right w:type="dxa" w:w="120"/>
            </w:tcMar>
          </w:tcPr>
          <w:p>
            <w:r>
              <w:rPr>
                <w:b w:val="false"/>
                <w:bCs w:val="false"/>
                <w:color w:val="6B7280"/>
                <w:sz w:val="19"/>
                <w:szCs w:val="19"/>
              </w:rPr>
              <w:t xml:space="preserve">Grant permissions</w:t>
            </w:r>
          </w:p>
        </w:tc>
      </w:tr>
      <w:tr>
        <w:tc>
          <w:tcPr>
            <w:tcW w:type="dxa" w:w="2600"/>
            <w:tcMar>
              <w:top w:type="dxa" w:w="100"/>
              <w:left w:type="dxa" w:w="120"/>
              <w:bottom w:type="dxa" w:w="100"/>
              <w:right w:type="dxa" w:w="120"/>
            </w:tcMar>
          </w:tcPr>
          <w:p>
            <w:r>
              <w:rPr>
                <w:b w:val="false"/>
                <w:bCs w:val="false"/>
                <w:color w:val="6B7280"/>
                <w:sz w:val="19"/>
                <w:szCs w:val="19"/>
              </w:rPr>
              <w:t xml:space="preserve">Medical Science Liaison</w:t>
            </w:r>
          </w:p>
        </w:tc>
        <w:tc>
          <w:tcPr>
            <w:tcW w:type="dxa" w:w="3720"/>
            <w:tcMar>
              <w:top w:type="dxa" w:w="100"/>
              <w:left w:type="dxa" w:w="120"/>
              <w:bottom w:type="dxa" w:w="100"/>
              <w:right w:type="dxa" w:w="120"/>
            </w:tcMar>
          </w:tcPr>
          <w:p>
            <w:r>
              <w:rPr>
                <w:b w:val="false"/>
                <w:bCs w:val="false"/>
                <w:color w:val="6B7280"/>
                <w:sz w:val="19"/>
                <w:szCs w:val="19"/>
              </w:rPr>
              <w:t xml:space="preserve">View and export all documents</w:t>
            </w:r>
          </w:p>
        </w:tc>
        <w:tc>
          <w:tcPr>
            <w:tcW w:type="dxa" w:w="3720"/>
            <w:tcMar>
              <w:top w:type="dxa" w:w="100"/>
              <w:left w:type="dxa" w:w="120"/>
              <w:bottom w:type="dxa" w:w="100"/>
              <w:right w:type="dxa" w:w="120"/>
            </w:tcMar>
          </w:tcPr>
          <w:p>
            <w:r>
              <w:rPr>
                <w:b w:val="false"/>
                <w:bCs w:val="false"/>
                <w:color w:val="6B7280"/>
                <w:sz w:val="19"/>
                <w:szCs w:val="19"/>
              </w:rPr>
              <w:t xml:space="preserve">Upload data, edit documents, modify approved medical/scientific text</w:t>
            </w:r>
          </w:p>
        </w:tc>
      </w:tr>
      <w:tr>
        <w:tc>
          <w:tcPr>
            <w:tcW w:type="dxa" w:w="2600"/>
            <w:tcMar>
              <w:top w:type="dxa" w:w="100"/>
              <w:left w:type="dxa" w:w="120"/>
              <w:bottom w:type="dxa" w:w="100"/>
              <w:right w:type="dxa" w:w="120"/>
            </w:tcMar>
          </w:tcPr>
          <w:p>
            <w:r>
              <w:rPr>
                <w:b w:val="false"/>
                <w:bCs w:val="false"/>
                <w:color w:val="6B7280"/>
                <w:sz w:val="19"/>
                <w:szCs w:val="19"/>
              </w:rPr>
              <w:t xml:space="preserve">Compliance Officer</w:t>
            </w:r>
          </w:p>
        </w:tc>
        <w:tc>
          <w:tcPr>
            <w:tcW w:type="dxa" w:w="3720"/>
            <w:tcMar>
              <w:top w:type="dxa" w:w="100"/>
              <w:left w:type="dxa" w:w="120"/>
              <w:bottom w:type="dxa" w:w="100"/>
              <w:right w:type="dxa" w:w="120"/>
            </w:tcMar>
          </w:tcPr>
          <w:p>
            <w:r>
              <w:rPr>
                <w:b w:val="false"/>
                <w:bCs w:val="false"/>
                <w:color w:val="6B7280"/>
                <w:sz w:val="19"/>
                <w:szCs w:val="19"/>
              </w:rPr>
              <w:t xml:space="preserve">Approve documents, view all documents</w:t>
            </w:r>
          </w:p>
        </w:tc>
        <w:tc>
          <w:tcPr>
            <w:tcW w:type="dxa" w:w="3720"/>
            <w:tcMar>
              <w:top w:type="dxa" w:w="100"/>
              <w:left w:type="dxa" w:w="120"/>
              <w:bottom w:type="dxa" w:w="100"/>
              <w:right w:type="dxa" w:w="120"/>
            </w:tcMar>
          </w:tcPr>
          <w:p>
            <w:r>
              <w:rPr>
                <w:b w:val="false"/>
                <w:bCs w:val="false"/>
                <w:color w:val="6B7280"/>
                <w:sz w:val="19"/>
                <w:szCs w:val="19"/>
              </w:rPr>
              <w:t xml:space="preserve">Upload data, edit document text directly</w:t>
            </w:r>
          </w:p>
        </w:tc>
      </w:tr>
    </w:tbl>
    <w:p>
      <w:pPr>
        <w:spacing w:after="100" w:before="260"/>
      </w:pPr>
      <w:r>
        <w:rPr>
          <w:b/>
          <w:bCs/>
          <w:sz w:val="24"/>
          <w:szCs w:val="24"/>
        </w:rPr>
        <w:t xml:space="preserve">Why this sequence</w:t>
      </w:r>
    </w:p>
    <w:p>
      <w:pPr>
        <w:spacing w:after="120" w:line="288"/>
      </w:pPr>
      <w:r>
        <w:rPr>
          <w:color w:val="1A1A1A"/>
          <w:sz w:val="21"/>
          <w:szCs w:val="21"/>
        </w:rPr>
        <w:t xml:space="preserve">Data intake is isolated and secured before anything else happens, so every later step inherits a compliant foundation rather than bolting compliance on afterward. Drafting is split into a fast AI pass and a mandatory human pass, keeping speed without giving up accountability. There is exactly one hard approval gate — after human review, before localization — so compliance review happens once per document rather than once per market, and everything downstream of it (translation, publishing, submission) is working from an already-approved source. Continuous policy monitoring closes the loop: instead of a one-time compliance check at submission, regulatory change is treated as an ongoing input that can re-open a specific document without disturbing the rest of the library.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2026-08-12T02:44:30.839Z</dcterms:created>
  <dcterms:modified xsi:type="dcterms:W3CDTF">2026-08-12T02:44:30.839Z</dcterms:modified>
</cp:coreProperties>
</file>

<file path=docProps/custom.xml><?xml version="1.0" encoding="utf-8"?>
<Properties xmlns="http://schemas.openxmlformats.org/officeDocument/2006/custom-properties" xmlns:vt="http://schemas.openxmlformats.org/officeDocument/2006/docPropsVTypes"/>
</file>