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Yu Gothic" w:hAnsi="Arial"/>
          <w:b/>
          <w:bCs/>
          <w:color w:val="1F3864"/>
          <w:sz w:val="44"/>
          <w:szCs w:val="44"/>
        </w:rPr>
        <w:t xml:space="preserve">Japanese Stock Holdings Research</w:t>
      </w:r>
    </w:p>
    <w:p>
      <w:pPr>
        <w:pBdr>
          <w:bottom w:val="single" w:color="1F3864" w:sz="8" w:space="4"/>
        </w:pBdr>
        <w:spacing w:after="200"/>
      </w:pPr>
      <w:r>
        <w:rPr>
          <w:rFonts w:ascii="Arial" w:cs="Arial" w:eastAsia="Yu Gothic" w:hAnsi="Arial"/>
          <w:color w:val="555555"/>
          <w:sz w:val="22"/>
          <w:szCs w:val="22"/>
        </w:rPr>
        <w:t xml:space="preserve">Murakami-linked investors, Ryosuke Matsui, GNI Group and Maiko Uda  ·  Data as of 2026-09-29</w:t>
      </w:r>
    </w:p>
    <w:p>
      <w:pPr>
        <w:pStyle w:val="Heading2"/>
        <w:spacing w:after="80" w:before="200"/>
      </w:pPr>
      <w:r>
        <w:rPr>
          <w:rFonts w:ascii="Arial" w:cs="Arial" w:eastAsia="Yu Gothic" w:hAnsi="Arial"/>
          <w:b/>
          <w:bCs/>
          <w:color w:val="2E5597"/>
          <w:sz w:val="24"/>
          <w:szCs w:val="24"/>
        </w:rPr>
        <w:t xml:space="preserve">Key findings</w:t>
      </w:r>
    </w:p>
    <w:p>
      <w:pPr>
        <w:pStyle w:val="ListParagraph"/>
        <w:numPr>
          <w:ilvl w:val="0"/>
          <w:numId w:val="2"/>
        </w:numPr>
        <w:spacing w:after="60"/>
      </w:pPr>
      <w:r>
        <w:rPr>
          <w:rFonts w:ascii="Arial" w:cs="Arial" w:eastAsia="Yu Gothic" w:hAnsi="Arial"/>
          <w:b/>
          <w:bCs/>
          <w:sz w:val="20"/>
          <w:szCs w:val="20"/>
        </w:rPr>
        <w:t xml:space="preserve">Murakami-linked investors hold more than 50 disclosed 5%+ stakes.</w:t>
      </w:r>
      <w:r>
        <w:rPr>
          <w:rFonts w:ascii="Arial" w:cs="Arial" w:eastAsia="Yu Gothic" w:hAnsi="Arial"/>
          <w:sz w:val="20"/>
          <w:szCs w:val="20"/>
        </w:rPr>
        <w:t xml:space="preserve"> The Murakami family is buying Yamada, Nippon Paper, Keikyu and Mitsubishi Paper, and selling Exedy, Alps Alpine and Daiho. Murakami Takateru is adding to all five of his positions.</w:t>
      </w:r>
    </w:p>
    <w:p>
      <w:pPr>
        <w:pStyle w:val="ListParagraph"/>
        <w:numPr>
          <w:ilvl w:val="0"/>
          <w:numId w:val="2"/>
        </w:numPr>
        <w:spacing w:after="60"/>
      </w:pPr>
      <w:r>
        <w:rPr>
          <w:rFonts w:ascii="Arial" w:cs="Arial" w:eastAsia="Yu Gothic" w:hAnsi="Arial"/>
          <w:b/>
          <w:bCs/>
          <w:sz w:val="20"/>
          <w:szCs w:val="20"/>
        </w:rPr>
        <w:t xml:space="preserve">Ryosuke Matsui's disclosed assets are estimated at about ¥393 million.</w:t>
      </w:r>
      <w:r>
        <w:rPr>
          <w:rFonts w:ascii="Arial" w:cs="Arial" w:eastAsia="Yu Gothic" w:hAnsi="Arial"/>
          <w:sz w:val="20"/>
          <w:szCs w:val="20"/>
        </w:rPr>
        <w:t xml:space="preserve"> Most of it is GNI Group stock, where he is COO and CFO. The rest is cash from selling PhoenixBio and Parma.</w:t>
      </w:r>
    </w:p>
    <w:p>
      <w:pPr>
        <w:pStyle w:val="ListParagraph"/>
        <w:numPr>
          <w:ilvl w:val="0"/>
          <w:numId w:val="2"/>
        </w:numPr>
        <w:spacing w:after="60"/>
      </w:pPr>
      <w:r>
        <w:rPr>
          <w:rFonts w:ascii="Arial" w:cs="Arial" w:eastAsia="Yu Gothic" w:hAnsi="Arial"/>
          <w:b/>
          <w:bCs/>
          <w:sz w:val="20"/>
          <w:szCs w:val="20"/>
        </w:rPr>
        <w:t xml:space="preserve">GNI Group is a China-focused drug company.</w:t>
      </w:r>
      <w:r>
        <w:rPr>
          <w:rFonts w:ascii="Arial" w:cs="Arial" w:eastAsia="Yu Gothic" w:hAnsi="Arial"/>
          <w:sz w:val="20"/>
          <w:szCs w:val="20"/>
        </w:rPr>
        <w:t xml:space="preserve"> It depends on its lung-fibrosis drug Etuary and a pending Chinese approval for its liver drug. It raised revenue guidance to ¥47.3 billion after buying Ayumi Pharmaceutical.</w:t>
      </w:r>
    </w:p>
    <w:p>
      <w:pPr>
        <w:pStyle w:val="ListParagraph"/>
        <w:numPr>
          <w:ilvl w:val="0"/>
          <w:numId w:val="2"/>
        </w:numPr>
        <w:spacing w:after="60"/>
      </w:pPr>
      <w:r>
        <w:rPr>
          <w:rFonts w:ascii="Arial" w:cs="Arial" w:eastAsia="Yu Gothic" w:hAnsi="Arial"/>
          <w:b/>
          <w:bCs/>
          <w:sz w:val="20"/>
          <w:szCs w:val="20"/>
        </w:rPr>
        <w:t xml:space="preserve">Maiko Uda's disclosed holdings are about ¥10 million.</w:t>
      </w:r>
      <w:r>
        <w:rPr>
          <w:rFonts w:ascii="Arial" w:cs="Arial" w:eastAsia="Yu Gothic" w:hAnsi="Arial"/>
          <w:sz w:val="20"/>
          <w:szCs w:val="20"/>
        </w:rPr>
        <w:t xml:space="preserve"> They are director shares in LY Corp and CyberBuzz. Her fund's positions are not public.</w:t>
      </w:r>
    </w:p>
    <w:p>
      <w:pPr>
        <w:pStyle w:val="Heading1"/>
        <w:spacing w:after="120" w:before="240"/>
      </w:pPr>
      <w:r>
        <w:rPr>
          <w:rFonts w:ascii="Arial" w:cs="Arial" w:eastAsia="Yu Gothic" w:hAnsi="Arial"/>
          <w:b/>
          <w:bCs/>
          <w:color w:val="1F3864"/>
          <w:sz w:val="30"/>
          <w:szCs w:val="30"/>
        </w:rPr>
        <w:t xml:space="preserve">1. Murakami-linked holdings above 5%</w:t>
      </w:r>
    </w:p>
    <w:p>
      <w:pPr>
        <w:spacing w:after="120"/>
      </w:pPr>
      <w:r>
        <w:rPr>
          <w:rFonts w:ascii="Arial" w:cs="Arial" w:eastAsia="Yu Gothic" w:hAnsi="Arial"/>
          <w:sz w:val="20"/>
          <w:szCs w:val="20"/>
        </w:rPr>
        <w:t xml:space="preserve">Source: EDINET large-shareholding reports as indexed by ufocatch.com, with listing status checked against J-Quants. "Held %" is the combined stake of every entity in the group from its latest filing. "Position started" is the date the group last crossed 5%. A new report is required on every move of 1 point or more, so a position with no recent filing has stayed roughly unchanged.</w:t>
      </w:r>
    </w:p>
    <w:p>
      <w:pPr>
        <w:pStyle w:val="Heading2"/>
        <w:spacing w:after="80" w:before="200"/>
      </w:pPr>
      <w:r>
        <w:rPr>
          <w:rFonts w:ascii="Arial" w:cs="Arial" w:eastAsia="Yu Gothic" w:hAnsi="Arial"/>
          <w:b/>
          <w:bCs/>
          <w:color w:val="2E5597"/>
          <w:sz w:val="24"/>
          <w:szCs w:val="24"/>
        </w:rPr>
        <w:t xml:space="preserve">Murakami family (14 positions)</w:t>
      </w:r>
    </w:p>
    <w:p>
      <w:pPr>
        <w:spacing w:after="120"/>
      </w:pPr>
      <w:r>
        <w:rPr>
          <w:rFonts w:ascii="Arial" w:cs="Arial" w:eastAsia="Yu Gothic" w:hAnsi="Arial"/>
          <w:i/>
          <w:iCs/>
          <w:sz w:val="18"/>
          <w:szCs w:val="18"/>
        </w:rPr>
        <w:t xml:space="preserve">City Index Eleventh, Aya Nomura, ATRA, Minami Aoyama Fudosan, Reno, S-Grant, Fortis, City Index First and related entities.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3009"/>
        <w:gridCol w:w="2736"/>
        <w:gridCol w:w="957"/>
        <w:gridCol w:w="1094"/>
        <w:gridCol w:w="1231"/>
        <w:gridCol w:w="1504"/>
        <w:gridCol w:w="2329"/>
      </w:tblGrid>
      <w:tr>
        <w:trPr>
          <w:tblHeader/>
        </w:trPr>
        <w:tc>
          <w:tcPr>
            <w:tcW w:type="dxa" w:w="82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Code</w:t>
            </w:r>
          </w:p>
        </w:tc>
        <w:tc>
          <w:tcPr>
            <w:tcW w:type="dxa" w:w="300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Name</w:t>
            </w:r>
          </w:p>
        </w:tc>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銘柄</w:t>
            </w:r>
          </w:p>
        </w:tc>
        <w:tc>
          <w:tcPr>
            <w:tcW w:type="dxa" w:w="95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Held %</w:t>
            </w:r>
          </w:p>
        </w:tc>
        <w:tc>
          <w:tcPr>
            <w:tcW w:type="dxa" w:w="10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Last move (pt)</w:t>
            </w:r>
          </w:p>
        </w:tc>
        <w:tc>
          <w:tcPr>
            <w:tcW w:type="dxa" w:w="123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Latest filing</w:t>
            </w:r>
          </w:p>
        </w:tc>
        <w:tc>
          <w:tcPr>
            <w:tcW w:type="dxa" w:w="150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Position started</w:t>
            </w:r>
          </w:p>
        </w:tc>
        <w:tc>
          <w:tcPr>
            <w:tcW w:type="dxa" w:w="23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Direction</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9831</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Yamada Holdings</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ヤマダホールディングス</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8.36%</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+1.03</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2026-09-10</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2026-07-13</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3 of last 3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7278</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Exedy</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エクセディ</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9.11%</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-1.09</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2026-08-28</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2024-06-10</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Decreasing, 4 of last 4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2972</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Sankei Real Estate REIT</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サンケイリアルエステート投資法人</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29.90%</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+0.34</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2026-08-07</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2026-01-16</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3864</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Mitsubishi Paper Mills</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三菱製紙</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6.12%</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+1.09</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2026-08-05</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2026-07-13</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3863</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Nippon Paper Industries</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日本製紙</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9.78%</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+1.05</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2026-07-23</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2026-04-30</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9006</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Keikyu</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京浜急行電鉄</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9.14%</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+1.02</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2026-07-06</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2025-02-13</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1518</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Mitsui Matsushima Holdings</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三井松島ホールディングス</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13.96%</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+0.71</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2026-06-12</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2024-05-02</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3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6770</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Alps Alpine</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アルプスアルパイン</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8.67%</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-1.10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2026-06-04</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2023-05-08</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Decreasing, 4 of last 4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1822</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Daiho</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大豊建設</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8.65%</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-4.76</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2026-05-28</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2022-09-14</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Decreasing,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4088</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Air Water</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エア・ウォーター</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6.88%</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+1.02</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2026-05-22</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2026-05-11</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9274</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KPP Group Holdings</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ＫＰＰグループホールディングス</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5.04%</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2026-05-21</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2026-05-14</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3941</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Rengo</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レンゴー</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6.06%</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+1.02</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2026-05-14</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2026-01-27</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8803</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Heiwa Real Estate</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平和不動産</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8.33%</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-1.05</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2026-02-26</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2024-07-22</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8032</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Japan Pulp and Paper</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日本紙パルプ商事</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5.05%</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2026-02-06</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2026-01-30</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bl>
    <w:p>
      <w:pPr>
        <w:spacing w:after="80"/>
      </w:pPr>
    </w:p>
    <w:p>
      <w:pPr>
        <w:pStyle w:val="Heading2"/>
        <w:spacing w:after="80" w:before="200"/>
      </w:pPr>
      <w:r>
        <w:rPr>
          <w:rFonts w:ascii="Arial" w:cs="Arial" w:eastAsia="Yu Gothic" w:hAnsi="Arial"/>
          <w:b/>
          <w:bCs/>
          <w:color w:val="2E5597"/>
          <w:sz w:val="24"/>
          <w:szCs w:val="24"/>
        </w:rPr>
        <w:t xml:space="preserve">Murakami Takateru (5 positions)</w:t>
      </w:r>
    </w:p>
    <w:p>
      <w:pPr>
        <w:spacing w:after="120"/>
      </w:pPr>
      <w:r>
        <w:rPr>
          <w:rFonts w:ascii="Arial" w:cs="Arial" w:eastAsia="Yu Gothic" w:hAnsi="Arial"/>
          <w:i/>
          <w:iCs/>
          <w:sz w:val="18"/>
          <w:szCs w:val="18"/>
        </w:rPr>
        <w:t xml:space="preserve">Yoshiaki Murakami's son, filing jointly with his companies MI1, MI2 and MI5.</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3009"/>
        <w:gridCol w:w="2736"/>
        <w:gridCol w:w="957"/>
        <w:gridCol w:w="1094"/>
        <w:gridCol w:w="1231"/>
        <w:gridCol w:w="1504"/>
        <w:gridCol w:w="2329"/>
      </w:tblGrid>
      <w:tr>
        <w:trPr>
          <w:tblHeader/>
        </w:trPr>
        <w:tc>
          <w:tcPr>
            <w:tcW w:type="dxa" w:w="82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Code</w:t>
            </w:r>
          </w:p>
        </w:tc>
        <w:tc>
          <w:tcPr>
            <w:tcW w:type="dxa" w:w="300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Name</w:t>
            </w:r>
          </w:p>
        </w:tc>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銘柄</w:t>
            </w:r>
          </w:p>
        </w:tc>
        <w:tc>
          <w:tcPr>
            <w:tcW w:type="dxa" w:w="95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Held %</w:t>
            </w:r>
          </w:p>
        </w:tc>
        <w:tc>
          <w:tcPr>
            <w:tcW w:type="dxa" w:w="10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Last move (pt)</w:t>
            </w:r>
          </w:p>
        </w:tc>
        <w:tc>
          <w:tcPr>
            <w:tcW w:type="dxa" w:w="123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Latest filing</w:t>
            </w:r>
          </w:p>
        </w:tc>
        <w:tc>
          <w:tcPr>
            <w:tcW w:type="dxa" w:w="150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Position started</w:t>
            </w:r>
          </w:p>
        </w:tc>
        <w:tc>
          <w:tcPr>
            <w:tcW w:type="dxa" w:w="23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Direction</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367A</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Primo Global Holdings</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プリモグローバルホールディングス</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12.35%</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2026-09-24</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2026-04-15</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4767</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TOW</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テー・オー・ダブリュー</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7.47%</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+1.06</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2026-09-14</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2026-08-05</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3 of last 3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2982</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AD Works Group</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ＡＤワークスグループ</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12.83%</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+1.05</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2026-09-08</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2026-05-13</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5644</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Metal Art</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メタルアート</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26.74%</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+2.05</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2026-08-13</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2026-05-20</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4246</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DaikyoNishikawa</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ダイキョーニシカワ</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6.14%</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+1.05</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2026-05-01</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2026-03-27</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w:t>
            </w:r>
          </w:p>
        </w:tc>
      </w:tr>
    </w:tbl>
    <w:p>
      <w:pPr>
        <w:spacing w:after="80"/>
      </w:pPr>
    </w:p>
    <w:p>
      <w:pPr>
        <w:pStyle w:val="Heading2"/>
        <w:spacing w:after="80" w:before="200"/>
      </w:pPr>
      <w:r>
        <w:rPr>
          <w:rFonts w:ascii="Arial" w:cs="Arial" w:eastAsia="Yu Gothic" w:hAnsi="Arial"/>
          <w:b/>
          <w:bCs/>
          <w:color w:val="2E5597"/>
          <w:sz w:val="24"/>
          <w:szCs w:val="24"/>
        </w:rPr>
        <w:t xml:space="preserve">Effissimo Capital (22 positions)</w:t>
      </w:r>
    </w:p>
    <w:p>
      <w:pPr>
        <w:spacing w:after="120"/>
      </w:pPr>
      <w:r>
        <w:rPr>
          <w:rFonts w:ascii="Arial" w:cs="Arial" w:eastAsia="Yu Gothic" w:hAnsi="Arial"/>
          <w:i/>
          <w:iCs/>
          <w:sz w:val="18"/>
          <w:szCs w:val="18"/>
        </w:rPr>
        <w:t xml:space="preserve">Singapore activist fund founded by three former Murakami Fund staff.</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3009"/>
        <w:gridCol w:w="2736"/>
        <w:gridCol w:w="957"/>
        <w:gridCol w:w="1094"/>
        <w:gridCol w:w="1231"/>
        <w:gridCol w:w="1504"/>
        <w:gridCol w:w="2329"/>
      </w:tblGrid>
      <w:tr>
        <w:trPr>
          <w:tblHeader/>
        </w:trPr>
        <w:tc>
          <w:tcPr>
            <w:tcW w:type="dxa" w:w="82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Code</w:t>
            </w:r>
          </w:p>
        </w:tc>
        <w:tc>
          <w:tcPr>
            <w:tcW w:type="dxa" w:w="300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Name</w:t>
            </w:r>
          </w:p>
        </w:tc>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銘柄</w:t>
            </w:r>
          </w:p>
        </w:tc>
        <w:tc>
          <w:tcPr>
            <w:tcW w:type="dxa" w:w="95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Held %</w:t>
            </w:r>
          </w:p>
        </w:tc>
        <w:tc>
          <w:tcPr>
            <w:tcW w:type="dxa" w:w="10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Last move (pt)</w:t>
            </w:r>
          </w:p>
        </w:tc>
        <w:tc>
          <w:tcPr>
            <w:tcW w:type="dxa" w:w="123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Latest filing</w:t>
            </w:r>
          </w:p>
        </w:tc>
        <w:tc>
          <w:tcPr>
            <w:tcW w:type="dxa" w:w="150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Position started</w:t>
            </w:r>
          </w:p>
        </w:tc>
        <w:tc>
          <w:tcPr>
            <w:tcW w:type="dxa" w:w="23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Direction</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4464</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Soft99</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ソフト９９コーポレーション</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70.77%</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+17.62</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2026-09-17</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2025-11-13</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3 of last 3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6707</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Sanken Electric</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サンケン電気</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34.37%</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2026-08-25</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2021-09-22</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5741</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UACJ</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ＵＡＣＪ</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24.28%</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2026-08-24</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2021-10-29</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4047</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Kanto Denka Kogyo</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関東電化工業</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19.83%</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2026-08-24</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2021-09-30</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9742</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INES</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アイネス</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15.76%</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+1.02</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2026-06-17</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2023-08-15</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7752</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Ricoh</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リコー</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24.77%</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2026-06-15</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2024-03-15</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9107</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Kawasaki Kisen (K Line)</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川崎汽船</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35.84%</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2026-06-09</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2021-09-24</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4902</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Konica Minolta</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コニカミノルタ</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10.60%</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+1.05</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2026-06-02</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2024-10-15</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3401</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Teijin</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帝人</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19.26%</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+1.73</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2026-04-21</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2024-07-15</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7157</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Lifenet Insurance</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ライフネット生命保険</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21.13%</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2026-04-13</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2021-09-30</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7740</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Tamron</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タムロン</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17.38%</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+1.04</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2026-04-07</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2021-12-15</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3104</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Fujibo Holdings</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富士紡ホールディングス</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19.70%</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+1.04</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2026-04-06</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2021-09-30</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6676</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Buffalo</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バッファロー</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9.28%</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+1.38</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2026-03-04</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2021-10-29</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8750</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Dai-ichi Life Group</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第一ライフグループ</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10.99%</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2026-02-27</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2021-11-24</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5449</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Osaka Steel</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大阪製鐵</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6.19%</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-0.20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2026-02-26</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2021-09-22</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1813</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Fudo Tetra</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不動テトラ</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27.28%</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2026-02-26</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2021-10-08</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1786</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Oriental Shiraishi</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オリエンタル白石</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11.85%</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2026-02-26</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2021-09-29</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6246</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Techno Smart</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テクノスマート</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6.60%</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2024-11-07</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2021-11-30</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7222</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Nissan Shatai</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日産車体</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29.68%</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2024-09-27</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2021-10-20</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7545</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Nishimatsuya Chain</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西松屋チェーン</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7.60%</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+1.64</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2024-08-06</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2023-10-13</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8013</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Naigai</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ナイガイ</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5.97%</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2024-05-08</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2024-04-30</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7122</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Kinki Sharyo</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近畿車輛</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9.75%</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2024-04-19</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Before 2021-12-15</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bl>
    <w:p>
      <w:pPr>
        <w:spacing w:after="80"/>
      </w:pPr>
    </w:p>
    <w:p>
      <w:pPr>
        <w:pStyle w:val="Heading2"/>
        <w:spacing w:after="80" w:before="200"/>
      </w:pPr>
      <w:r>
        <w:rPr>
          <w:rFonts w:ascii="Arial" w:cs="Arial" w:eastAsia="Yu Gothic" w:hAnsi="Arial"/>
          <w:b/>
          <w:bCs/>
          <w:color w:val="2E5597"/>
          <w:sz w:val="24"/>
          <w:szCs w:val="24"/>
        </w:rPr>
        <w:t xml:space="preserve">Strategic Capital (11 positions)</w:t>
      </w:r>
    </w:p>
    <w:p>
      <w:pPr>
        <w:spacing w:after="120"/>
      </w:pPr>
      <w:r>
        <w:rPr>
          <w:rFonts w:ascii="Arial" w:cs="Arial" w:eastAsia="Yu Gothic" w:hAnsi="Arial"/>
          <w:i/>
          <w:iCs/>
          <w:sz w:val="18"/>
          <w:szCs w:val="18"/>
        </w:rPr>
        <w:t xml:space="preserve">Tokyo activist fund founded by a former Murakami Fund manager.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3009"/>
        <w:gridCol w:w="2736"/>
        <w:gridCol w:w="957"/>
        <w:gridCol w:w="1094"/>
        <w:gridCol w:w="1231"/>
        <w:gridCol w:w="1504"/>
        <w:gridCol w:w="2329"/>
      </w:tblGrid>
      <w:tr>
        <w:trPr>
          <w:tblHeader/>
        </w:trPr>
        <w:tc>
          <w:tcPr>
            <w:tcW w:type="dxa" w:w="82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Code</w:t>
            </w:r>
          </w:p>
        </w:tc>
        <w:tc>
          <w:tcPr>
            <w:tcW w:type="dxa" w:w="300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Name</w:t>
            </w:r>
          </w:p>
        </w:tc>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銘柄</w:t>
            </w:r>
          </w:p>
        </w:tc>
        <w:tc>
          <w:tcPr>
            <w:tcW w:type="dxa" w:w="95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Held %</w:t>
            </w:r>
          </w:p>
        </w:tc>
        <w:tc>
          <w:tcPr>
            <w:tcW w:type="dxa" w:w="109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Last move (pt)</w:t>
            </w:r>
          </w:p>
        </w:tc>
        <w:tc>
          <w:tcPr>
            <w:tcW w:type="dxa" w:w="123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Latest filing</w:t>
            </w:r>
          </w:p>
        </w:tc>
        <w:tc>
          <w:tcPr>
            <w:tcW w:type="dxa" w:w="150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Position started</w:t>
            </w:r>
          </w:p>
        </w:tc>
        <w:tc>
          <w:tcPr>
            <w:tcW w:type="dxa" w:w="232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Direction</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8818</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Keihanshin Building</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京阪神ビルディング</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8.02%</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-1.15</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2026-09-29</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2024-02-07</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Decreasing,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4189</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KH Neochem</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ＫＨネオケム</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18.24%</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2026-09-25</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2026-02-02</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7745</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A&amp;D Holon Holdings</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Ａ＆Ｄホロンホールディングス</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16.72%</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2026-09-03</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2026-02-05</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3765</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GungHo Online Entertainment</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ガンホー・オンライン・エンターテイメント</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13.67%</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2026-08-27</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2024-10-08</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6516</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Sanyo Denki</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山洋電気</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12.15%</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-1.03</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2026-08-19</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2024-08-20</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Decreasing,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9882</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Yellow Hat</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イエローハット</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12.74%</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-1.09</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2026-08-07</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2024-07-19</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Decreasing, 1 of last 2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2001</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Nippn</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ニップン</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7.09%</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2026-07-27</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2026-06-18</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2 of last 2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8871</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Goldcrest</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ゴールドクレスト</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16.28%</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+1.61</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2026-07-07</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2023-08-01</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8585</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Orient Corp</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オリエントコーポレーション</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12.80%</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+1.02</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2026-06-08</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2025-06-24</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 4 of last 4 filings</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5451</w:t>
            </w:r>
          </w:p>
        </w:tc>
        <w:tc>
          <w:tcPr>
            <w:tcW w:type="dxa" w:w="30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Yodoko</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ヨドコウ</w:t>
            </w:r>
          </w:p>
        </w:tc>
        <w:tc>
          <w:tcPr>
            <w:tcW w:type="dxa" w:w="95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5.63%</w:t>
            </w:r>
          </w:p>
        </w:tc>
        <w:tc>
          <w:tcPr>
            <w:tcW w:type="dxa" w:w="109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2026-04-16</w:t>
            </w:r>
          </w:p>
        </w:tc>
        <w:tc>
          <w:tcPr>
            <w:tcW w:type="dxa" w:w="15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2023-09-08</w:t>
            </w:r>
          </w:p>
        </w:tc>
        <w:tc>
          <w:tcPr>
            <w:tcW w:type="dxa" w:w="232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Decreasing, 2 of last 3 filings</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5449</w:t>
            </w:r>
          </w:p>
        </w:tc>
        <w:tc>
          <w:tcPr>
            <w:tcW w:type="dxa" w:w="30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Osaka Steel</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大阪製鐵</w:t>
            </w:r>
          </w:p>
        </w:tc>
        <w:tc>
          <w:tcPr>
            <w:tcW w:type="dxa" w:w="95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12.37%</w:t>
            </w:r>
          </w:p>
        </w:tc>
        <w:tc>
          <w:tcPr>
            <w:tcW w:type="dxa" w:w="109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+0.08</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2026-02-06</w:t>
            </w:r>
          </w:p>
        </w:tc>
        <w:tc>
          <w:tcPr>
            <w:tcW w:type="dxa" w:w="15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2023-12-19</w:t>
            </w:r>
          </w:p>
        </w:tc>
        <w:tc>
          <w:tcPr>
            <w:tcW w:type="dxa" w:w="232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 no big move since then</w:t>
            </w:r>
          </w:p>
        </w:tc>
      </w:tr>
    </w:tbl>
    <w:p>
      <w:pPr>
        <w:spacing w:after="80"/>
      </w:pPr>
    </w:p>
    <w:p>
      <w:pPr>
        <w:pStyle w:val="Heading2"/>
        <w:spacing w:after="80" w:before="200"/>
      </w:pPr>
      <w:r>
        <w:rPr>
          <w:rFonts w:ascii="Arial" w:cs="Arial" w:eastAsia="Yu Gothic" w:hAnsi="Arial"/>
          <w:b/>
          <w:bCs/>
          <w:color w:val="2E5597"/>
          <w:sz w:val="24"/>
          <w:szCs w:val="24"/>
        </w:rPr>
        <w:t xml:space="preserve">Cut below 5% in the last 12 months</w:t>
      </w:r>
    </w:p>
    <w:p>
      <w:pPr>
        <w:spacing w:after="120"/>
      </w:pPr>
      <w:r>
        <w:rPr>
          <w:rFonts w:ascii="Arial" w:cs="Arial" w:eastAsia="Yu Gothic" w:hAnsi="Arial"/>
          <w:sz w:val="18"/>
          <w:szCs w:val="18"/>
        </w:rPr>
        <w:t xml:space="preserve">These positions were sold down below the 5% reporting line, so later changes are no longer disclosed.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9"/>
        <w:gridCol w:w="892"/>
        <w:gridCol w:w="3866"/>
        <w:gridCol w:w="3568"/>
        <w:gridCol w:w="1486"/>
        <w:gridCol w:w="1489"/>
      </w:tblGrid>
      <w:tr>
        <w:trPr>
          <w:tblHeader/>
        </w:trPr>
        <w:tc>
          <w:tcPr>
            <w:tcW w:type="dxa" w:w="237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Group</w:t>
            </w:r>
          </w:p>
        </w:tc>
        <w:tc>
          <w:tcPr>
            <w:tcW w:type="dxa" w:w="89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Code</w:t>
            </w:r>
          </w:p>
        </w:tc>
        <w:tc>
          <w:tcPr>
            <w:tcW w:type="dxa" w:w="386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Name</w:t>
            </w:r>
          </w:p>
        </w:tc>
        <w:tc>
          <w:tcPr>
            <w:tcW w:type="dxa" w:w="356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銘柄</w:t>
            </w:r>
          </w:p>
        </w:tc>
        <w:tc>
          <w:tcPr>
            <w:tcW w:type="dxa" w:w="148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Last reported %</w:t>
            </w:r>
          </w:p>
        </w:tc>
        <w:tc>
          <w:tcPr>
            <w:tcW w:type="dxa" w:w="148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Filing date</w:t>
            </w:r>
          </w:p>
        </w:tc>
      </w:tr>
      <w:tr>
        <w:trPr>
          <w:cantSplit/>
        </w:trPr>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4092</w:t>
            </w:r>
          </w:p>
        </w:tc>
        <w:tc>
          <w:tcPr>
            <w:tcW w:type="dxa" w:w="38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Nippon Chemical Industrial</w:t>
            </w:r>
          </w:p>
        </w:tc>
        <w:tc>
          <w:tcPr>
            <w:tcW w:type="dxa" w:w="35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日本化学工業</w:t>
            </w:r>
          </w:p>
        </w:tc>
        <w:tc>
          <w:tcPr>
            <w:tcW w:type="dxa" w:w="1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4.94%</w:t>
            </w:r>
          </w:p>
        </w:tc>
        <w:tc>
          <w:tcPr>
            <w:tcW w:type="dxa" w:w="14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2026-08-18</w:t>
            </w:r>
          </w:p>
        </w:tc>
      </w:tr>
      <w:tr>
        <w:trPr>
          <w:cantSplit/>
        </w:trPr>
        <w:tc>
          <w:tcPr>
            <w:tcW w:type="dxa" w:w="237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2432</w:t>
            </w:r>
          </w:p>
        </w:tc>
        <w:tc>
          <w:tcPr>
            <w:tcW w:type="dxa" w:w="386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DeNA</w:t>
            </w:r>
          </w:p>
        </w:tc>
        <w:tc>
          <w:tcPr>
            <w:tcW w:type="dxa" w:w="35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ディー・エヌ・エー</w:t>
            </w:r>
          </w:p>
        </w:tc>
        <w:tc>
          <w:tcPr>
            <w:tcW w:type="dxa" w:w="148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3.76%</w:t>
            </w:r>
          </w:p>
        </w:tc>
        <w:tc>
          <w:tcPr>
            <w:tcW w:type="dxa" w:w="148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2026-07-15</w:t>
            </w:r>
          </w:p>
        </w:tc>
      </w:tr>
      <w:tr>
        <w:trPr>
          <w:cantSplit/>
        </w:trPr>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9257</w:t>
            </w:r>
          </w:p>
        </w:tc>
        <w:tc>
          <w:tcPr>
            <w:tcW w:type="dxa" w:w="38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YCP Holdings</w:t>
            </w:r>
          </w:p>
        </w:tc>
        <w:tc>
          <w:tcPr>
            <w:tcW w:type="dxa" w:w="35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ＹＣＰホールディングス（グローバル）リミテッド</w:t>
            </w:r>
          </w:p>
        </w:tc>
        <w:tc>
          <w:tcPr>
            <w:tcW w:type="dxa" w:w="1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3.28%</w:t>
            </w:r>
          </w:p>
        </w:tc>
        <w:tc>
          <w:tcPr>
            <w:tcW w:type="dxa" w:w="14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2026-06-23</w:t>
            </w:r>
          </w:p>
        </w:tc>
      </w:tr>
      <w:tr>
        <w:trPr>
          <w:cantSplit/>
        </w:trPr>
        <w:tc>
          <w:tcPr>
            <w:tcW w:type="dxa" w:w="237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Strategic Capital</w:t>
            </w:r>
          </w:p>
        </w:tc>
        <w:tc>
          <w:tcPr>
            <w:tcW w:type="dxa" w:w="8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5331</w:t>
            </w:r>
          </w:p>
        </w:tc>
        <w:tc>
          <w:tcPr>
            <w:tcW w:type="dxa" w:w="386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Noritake</w:t>
            </w:r>
          </w:p>
        </w:tc>
        <w:tc>
          <w:tcPr>
            <w:tcW w:type="dxa" w:w="35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ノリタケ</w:t>
            </w:r>
          </w:p>
        </w:tc>
        <w:tc>
          <w:tcPr>
            <w:tcW w:type="dxa" w:w="148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4.36%</w:t>
            </w:r>
          </w:p>
        </w:tc>
        <w:tc>
          <w:tcPr>
            <w:tcW w:type="dxa" w:w="148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2026-06-11</w:t>
            </w:r>
          </w:p>
        </w:tc>
      </w:tr>
      <w:tr>
        <w:trPr>
          <w:cantSplit/>
        </w:trPr>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8141</w:t>
            </w:r>
          </w:p>
        </w:tc>
        <w:tc>
          <w:tcPr>
            <w:tcW w:type="dxa" w:w="38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Shinko Shoji</w:t>
            </w:r>
          </w:p>
        </w:tc>
        <w:tc>
          <w:tcPr>
            <w:tcW w:type="dxa" w:w="35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新光商事</w:t>
            </w:r>
          </w:p>
        </w:tc>
        <w:tc>
          <w:tcPr>
            <w:tcW w:type="dxa" w:w="1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4.53%</w:t>
            </w:r>
          </w:p>
        </w:tc>
        <w:tc>
          <w:tcPr>
            <w:tcW w:type="dxa" w:w="14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2026-06-03</w:t>
            </w:r>
          </w:p>
        </w:tc>
      </w:tr>
      <w:tr>
        <w:trPr>
          <w:cantSplit/>
        </w:trPr>
        <w:tc>
          <w:tcPr>
            <w:tcW w:type="dxa" w:w="237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Takateru</w:t>
            </w:r>
          </w:p>
        </w:tc>
        <w:tc>
          <w:tcPr>
            <w:tcW w:type="dxa" w:w="8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5210</w:t>
            </w:r>
          </w:p>
        </w:tc>
        <w:tc>
          <w:tcPr>
            <w:tcW w:type="dxa" w:w="386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Nihon Yamamura Glass</w:t>
            </w:r>
          </w:p>
        </w:tc>
        <w:tc>
          <w:tcPr>
            <w:tcW w:type="dxa" w:w="35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日本山村硝子</w:t>
            </w:r>
          </w:p>
        </w:tc>
        <w:tc>
          <w:tcPr>
            <w:tcW w:type="dxa" w:w="148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3.77%</w:t>
            </w:r>
          </w:p>
        </w:tc>
        <w:tc>
          <w:tcPr>
            <w:tcW w:type="dxa" w:w="148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2026-05-01</w:t>
            </w:r>
          </w:p>
        </w:tc>
      </w:tr>
      <w:tr>
        <w:trPr>
          <w:cantSplit/>
        </w:trPr>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1776</w:t>
            </w:r>
          </w:p>
        </w:tc>
        <w:tc>
          <w:tcPr>
            <w:tcW w:type="dxa" w:w="38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Mitsui Sumiken Doro</w:t>
            </w:r>
          </w:p>
        </w:tc>
        <w:tc>
          <w:tcPr>
            <w:tcW w:type="dxa" w:w="35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三井住建道路</w:t>
            </w:r>
          </w:p>
        </w:tc>
        <w:tc>
          <w:tcPr>
            <w:tcW w:type="dxa" w:w="1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4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2026-04-28</w:t>
            </w:r>
          </w:p>
        </w:tc>
      </w:tr>
      <w:tr>
        <w:trPr>
          <w:cantSplit/>
        </w:trPr>
        <w:tc>
          <w:tcPr>
            <w:tcW w:type="dxa" w:w="237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4676</w:t>
            </w:r>
          </w:p>
        </w:tc>
        <w:tc>
          <w:tcPr>
            <w:tcW w:type="dxa" w:w="386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Fuji Media Holdings</w:t>
            </w:r>
          </w:p>
        </w:tc>
        <w:tc>
          <w:tcPr>
            <w:tcW w:type="dxa" w:w="35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フジ・メディア・ホールディングス</w:t>
            </w:r>
          </w:p>
        </w:tc>
        <w:tc>
          <w:tcPr>
            <w:tcW w:type="dxa" w:w="148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4.62%</w:t>
            </w:r>
          </w:p>
        </w:tc>
        <w:tc>
          <w:tcPr>
            <w:tcW w:type="dxa" w:w="148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2026-04-15</w:t>
            </w:r>
          </w:p>
        </w:tc>
      </w:tr>
      <w:tr>
        <w:trPr>
          <w:cantSplit/>
        </w:trPr>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8233</w:t>
            </w:r>
          </w:p>
        </w:tc>
        <w:tc>
          <w:tcPr>
            <w:tcW w:type="dxa" w:w="38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Takashimaya</w:t>
            </w:r>
          </w:p>
        </w:tc>
        <w:tc>
          <w:tcPr>
            <w:tcW w:type="dxa" w:w="35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高島屋</w:t>
            </w:r>
          </w:p>
        </w:tc>
        <w:tc>
          <w:tcPr>
            <w:tcW w:type="dxa" w:w="1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3.34%</w:t>
            </w:r>
          </w:p>
        </w:tc>
        <w:tc>
          <w:tcPr>
            <w:tcW w:type="dxa" w:w="14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2026-03-05</w:t>
            </w:r>
          </w:p>
        </w:tc>
      </w:tr>
      <w:tr>
        <w:trPr>
          <w:cantSplit/>
        </w:trPr>
        <w:tc>
          <w:tcPr>
            <w:tcW w:type="dxa" w:w="237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4917</w:t>
            </w:r>
          </w:p>
        </w:tc>
        <w:tc>
          <w:tcPr>
            <w:tcW w:type="dxa" w:w="386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Mandom</w:t>
            </w:r>
          </w:p>
        </w:tc>
        <w:tc>
          <w:tcPr>
            <w:tcW w:type="dxa" w:w="35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マンダム</w:t>
            </w:r>
          </w:p>
        </w:tc>
        <w:tc>
          <w:tcPr>
            <w:tcW w:type="dxa" w:w="148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48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2026-03-04</w:t>
            </w:r>
          </w:p>
        </w:tc>
      </w:tr>
      <w:tr>
        <w:trPr>
          <w:cantSplit/>
        </w:trPr>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6890</w:t>
            </w:r>
          </w:p>
        </w:tc>
        <w:tc>
          <w:tcPr>
            <w:tcW w:type="dxa" w:w="38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Ferrotec</w:t>
            </w:r>
          </w:p>
        </w:tc>
        <w:tc>
          <w:tcPr>
            <w:tcW w:type="dxa" w:w="35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フェローテック</w:t>
            </w:r>
          </w:p>
        </w:tc>
        <w:tc>
          <w:tcPr>
            <w:tcW w:type="dxa" w:w="1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4.41%</w:t>
            </w:r>
          </w:p>
        </w:tc>
        <w:tc>
          <w:tcPr>
            <w:tcW w:type="dxa" w:w="14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2026-02-03</w:t>
            </w:r>
          </w:p>
        </w:tc>
      </w:tr>
      <w:tr>
        <w:trPr>
          <w:cantSplit/>
        </w:trPr>
        <w:tc>
          <w:tcPr>
            <w:tcW w:type="dxa" w:w="237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Effissimo Capital</w:t>
            </w:r>
          </w:p>
        </w:tc>
        <w:tc>
          <w:tcPr>
            <w:tcW w:type="dxa" w:w="8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5541</w:t>
            </w:r>
          </w:p>
        </w:tc>
        <w:tc>
          <w:tcPr>
            <w:tcW w:type="dxa" w:w="386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Pacific Metals</w:t>
            </w:r>
          </w:p>
        </w:tc>
        <w:tc>
          <w:tcPr>
            <w:tcW w:type="dxa" w:w="35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大平洋金属</w:t>
            </w:r>
          </w:p>
        </w:tc>
        <w:tc>
          <w:tcPr>
            <w:tcW w:type="dxa" w:w="148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2.12%</w:t>
            </w:r>
          </w:p>
        </w:tc>
        <w:tc>
          <w:tcPr>
            <w:tcW w:type="dxa" w:w="148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2025-12-22</w:t>
            </w:r>
          </w:p>
        </w:tc>
      </w:tr>
      <w:tr>
        <w:trPr>
          <w:cantSplit/>
        </w:trPr>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Strategic Capital</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1882</w:t>
            </w:r>
          </w:p>
        </w:tc>
        <w:tc>
          <w:tcPr>
            <w:tcW w:type="dxa" w:w="38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Toa Road</w:t>
            </w:r>
          </w:p>
        </w:tc>
        <w:tc>
          <w:tcPr>
            <w:tcW w:type="dxa" w:w="35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東亜道路工業</w:t>
            </w:r>
          </w:p>
        </w:tc>
        <w:tc>
          <w:tcPr>
            <w:tcW w:type="dxa" w:w="1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3.97%</w:t>
            </w:r>
          </w:p>
        </w:tc>
        <w:tc>
          <w:tcPr>
            <w:tcW w:type="dxa" w:w="14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2025-12-03</w:t>
            </w:r>
          </w:p>
        </w:tc>
      </w:tr>
      <w:tr>
        <w:trPr>
          <w:cantSplit/>
        </w:trPr>
        <w:tc>
          <w:tcPr>
            <w:tcW w:type="dxa" w:w="237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6145</w:t>
            </w:r>
          </w:p>
        </w:tc>
        <w:tc>
          <w:tcPr>
            <w:tcW w:type="dxa" w:w="386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NITTOKU</w:t>
            </w:r>
          </w:p>
        </w:tc>
        <w:tc>
          <w:tcPr>
            <w:tcW w:type="dxa" w:w="35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ＮＩＴＴＯＫＵ</w:t>
            </w:r>
          </w:p>
        </w:tc>
        <w:tc>
          <w:tcPr>
            <w:tcW w:type="dxa" w:w="148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4.40%</w:t>
            </w:r>
          </w:p>
        </w:tc>
        <w:tc>
          <w:tcPr>
            <w:tcW w:type="dxa" w:w="148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2025-11-25</w:t>
            </w:r>
          </w:p>
        </w:tc>
      </w:tr>
      <w:tr>
        <w:trPr>
          <w:cantSplit/>
        </w:trPr>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7294</w:t>
            </w:r>
          </w:p>
        </w:tc>
        <w:tc>
          <w:tcPr>
            <w:tcW w:type="dxa" w:w="38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Yorozu</w:t>
            </w:r>
          </w:p>
        </w:tc>
        <w:tc>
          <w:tcPr>
            <w:tcW w:type="dxa" w:w="35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ヨロズ</w:t>
            </w:r>
          </w:p>
        </w:tc>
        <w:tc>
          <w:tcPr>
            <w:tcW w:type="dxa" w:w="1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0.00%</w:t>
            </w:r>
          </w:p>
        </w:tc>
        <w:tc>
          <w:tcPr>
            <w:tcW w:type="dxa" w:w="14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2025-11-20</w:t>
            </w:r>
          </w:p>
        </w:tc>
      </w:tr>
      <w:tr>
        <w:trPr>
          <w:cantSplit/>
        </w:trPr>
        <w:tc>
          <w:tcPr>
            <w:tcW w:type="dxa" w:w="237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6923</w:t>
            </w:r>
          </w:p>
        </w:tc>
        <w:tc>
          <w:tcPr>
            <w:tcW w:type="dxa" w:w="386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Stanley Electric</w:t>
            </w:r>
          </w:p>
        </w:tc>
        <w:tc>
          <w:tcPr>
            <w:tcW w:type="dxa" w:w="35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スタンレー電気</w:t>
            </w:r>
          </w:p>
        </w:tc>
        <w:tc>
          <w:tcPr>
            <w:tcW w:type="dxa" w:w="148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4.99%</w:t>
            </w:r>
          </w:p>
        </w:tc>
        <w:tc>
          <w:tcPr>
            <w:tcW w:type="dxa" w:w="148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2025-11-20</w:t>
            </w:r>
          </w:p>
        </w:tc>
      </w:tr>
      <w:tr>
        <w:trPr>
          <w:cantSplit/>
        </w:trPr>
        <w:tc>
          <w:tcPr>
            <w:tcW w:type="dxa" w:w="237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6875</w:t>
            </w:r>
          </w:p>
        </w:tc>
        <w:tc>
          <w:tcPr>
            <w:tcW w:type="dxa" w:w="386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MegaChips</w:t>
            </w:r>
          </w:p>
        </w:tc>
        <w:tc>
          <w:tcPr>
            <w:tcW w:type="dxa" w:w="35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メガチップス</w:t>
            </w:r>
          </w:p>
        </w:tc>
        <w:tc>
          <w:tcPr>
            <w:tcW w:type="dxa" w:w="148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4.90%</w:t>
            </w:r>
          </w:p>
        </w:tc>
        <w:tc>
          <w:tcPr>
            <w:tcW w:type="dxa" w:w="148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2025-11-19</w:t>
            </w:r>
          </w:p>
        </w:tc>
      </w:tr>
    </w:tbl>
    <w:p>
      <w:pPr>
        <w:spacing w:after="80"/>
      </w:pPr>
    </w:p>
    <w:p>
      <w:pPr>
        <w:pStyle w:val="Heading2"/>
        <w:spacing w:after="80" w:before="200"/>
      </w:pPr>
      <w:r>
        <w:rPr>
          <w:rFonts w:ascii="Arial" w:cs="Arial" w:eastAsia="Yu Gothic" w:hAnsi="Arial"/>
          <w:b/>
          <w:bCs/>
          <w:color w:val="2E5597"/>
          <w:sz w:val="24"/>
          <w:szCs w:val="24"/>
        </w:rPr>
        <w:t xml:space="preserve">Stale filings</w:t>
      </w:r>
    </w:p>
    <w:p>
      <w:pPr>
        <w:spacing w:after="120"/>
      </w:pPr>
      <w:r>
        <w:rPr>
          <w:rFonts w:ascii="Arial" w:cs="Arial" w:eastAsia="Yu Gothic" w:hAnsi="Arial"/>
          <w:sz w:val="18"/>
          <w:szCs w:val="18"/>
        </w:rPr>
        <w:t xml:space="preserve">These still show above 5% on paper, but the last filing predates 2024. SBI Shinsei Bank's stake was squeezed out when the bank went private in 2023, and the other two were probably tendered or sold without a closing report.</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6"/>
        <w:gridCol w:w="892"/>
        <w:gridCol w:w="5947"/>
        <w:gridCol w:w="2081"/>
        <w:gridCol w:w="2084"/>
      </w:tblGrid>
      <w:tr>
        <w:trPr>
          <w:tblHeader/>
        </w:trPr>
        <w:tc>
          <w:tcPr>
            <w:tcW w:type="dxa" w:w="267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Group</w:t>
            </w:r>
          </w:p>
        </w:tc>
        <w:tc>
          <w:tcPr>
            <w:tcW w:type="dxa" w:w="89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Code</w:t>
            </w:r>
          </w:p>
        </w:tc>
        <w:tc>
          <w:tcPr>
            <w:tcW w:type="dxa" w:w="594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Name</w:t>
            </w:r>
          </w:p>
        </w:tc>
        <w:tc>
          <w:tcPr>
            <w:tcW w:type="dxa" w:w="208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Last reported %</w:t>
            </w:r>
          </w:p>
        </w:tc>
        <w:tc>
          <w:tcPr>
            <w:tcW w:type="dxa" w:w="208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Filing date</w:t>
            </w:r>
          </w:p>
        </w:tc>
      </w:tr>
      <w:tr>
        <w:trPr>
          <w:cantSplit/>
        </w:trPr>
        <w:tc>
          <w:tcPr>
            <w:tcW w:type="dxa" w:w="26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8595</w:t>
            </w:r>
          </w:p>
        </w:tc>
        <w:tc>
          <w:tcPr>
            <w:tcW w:type="dxa" w:w="594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JAFCO Group</w:t>
            </w:r>
          </w:p>
        </w:tc>
        <w:tc>
          <w:tcPr>
            <w:tcW w:type="dxa" w:w="20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17.67%</w:t>
            </w:r>
          </w:p>
        </w:tc>
        <w:tc>
          <w:tcPr>
            <w:tcW w:type="dxa" w:w="20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2023-02-20</w:t>
            </w:r>
          </w:p>
        </w:tc>
      </w:tr>
      <w:tr>
        <w:trPr>
          <w:cantSplit/>
        </w:trPr>
        <w:tc>
          <w:tcPr>
            <w:tcW w:type="dxa" w:w="267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Murakami family</w:t>
            </w:r>
          </w:p>
        </w:tc>
        <w:tc>
          <w:tcPr>
            <w:tcW w:type="dxa" w:w="8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8303</w:t>
            </w:r>
          </w:p>
        </w:tc>
        <w:tc>
          <w:tcPr>
            <w:tcW w:type="dxa" w:w="594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SBI Shinsei Bank</w:t>
            </w:r>
          </w:p>
        </w:tc>
        <w:tc>
          <w:tcPr>
            <w:tcW w:type="dxa" w:w="208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9.75%</w:t>
            </w:r>
          </w:p>
        </w:tc>
        <w:tc>
          <w:tcPr>
            <w:tcW w:type="dxa" w:w="208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2023-09-28</w:t>
            </w:r>
          </w:p>
        </w:tc>
      </w:tr>
      <w:tr>
        <w:trPr>
          <w:cantSplit/>
        </w:trPr>
        <w:tc>
          <w:tcPr>
            <w:tcW w:type="dxa" w:w="267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Effissimo Capital</w:t>
            </w:r>
          </w:p>
        </w:tc>
        <w:tc>
          <w:tcPr>
            <w:tcW w:type="dxa" w:w="8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9640</w:t>
            </w:r>
          </w:p>
        </w:tc>
        <w:tc>
          <w:tcPr>
            <w:tcW w:type="dxa" w:w="594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Saison Technology</w:t>
            </w:r>
          </w:p>
        </w:tc>
        <w:tc>
          <w:tcPr>
            <w:tcW w:type="dxa" w:w="208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5.29%</w:t>
            </w:r>
          </w:p>
        </w:tc>
        <w:tc>
          <w:tcPr>
            <w:tcW w:type="dxa" w:w="20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2021-11-24</w:t>
            </w:r>
          </w:p>
        </w:tc>
      </w:tr>
    </w:tbl>
    <w:p>
      <w:pPr>
        <w:pStyle w:val="Heading1"/>
        <w:spacing w:after="120" w:before="240"/>
      </w:pPr>
      <w:r>
        <w:rPr>
          <w:rFonts w:ascii="Arial" w:cs="Arial" w:eastAsia="Yu Gothic" w:hAnsi="Arial"/>
          <w:b/>
          <w:bCs/>
          <w:color w:val="1F3864"/>
          <w:sz w:val="30"/>
          <w:szCs w:val="30"/>
        </w:rPr>
        <w:t xml:space="preserve">2. Ryosuke Matsui (松井亮介)</w:t>
      </w:r>
    </w:p>
    <w:p>
      <w:pPr>
        <w:spacing w:after="120"/>
      </w:pPr>
      <w:r>
        <w:rPr>
          <w:rFonts w:ascii="Arial" w:cs="Arial" w:eastAsia="Yu Gothic" w:hAnsi="Arial"/>
          <w:sz w:val="20"/>
          <w:szCs w:val="20"/>
        </w:rPr>
        <w:t xml:space="preserve">Director and Executive Vice President, COO and CFO of GNI Group (2160), second to founder and CEO Ying Luo. He has never filed a 5%+ large-shareholding report, and neither has his investment company, The Ranma Investments (formerly 松井合同会社). His stakes are visible only through companies' top-10 shareholder lists and officer shareholdings in annual reports. Prices are J-Quants closes.</w:t>
      </w:r>
    </w:p>
    <w:p>
      <w:pPr>
        <w:pStyle w:val="Heading2"/>
        <w:spacing w:after="80" w:before="200"/>
      </w:pPr>
      <w:r>
        <w:rPr>
          <w:rFonts w:ascii="Arial" w:cs="Arial" w:eastAsia="Yu Gothic" w:hAnsi="Arial"/>
          <w:b/>
          <w:bCs/>
          <w:color w:val="2E5597"/>
          <w:sz w:val="24"/>
          <w:szCs w:val="24"/>
        </w:rPr>
        <w:t xml:space="preserve">Summary of stakes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
        <w:gridCol w:w="1915"/>
        <w:gridCol w:w="1915"/>
        <w:gridCol w:w="1368"/>
        <w:gridCol w:w="1231"/>
        <w:gridCol w:w="2052"/>
        <w:gridCol w:w="2736"/>
        <w:gridCol w:w="1643"/>
      </w:tblGrid>
      <w:tr>
        <w:trPr>
          <w:tblHeader/>
        </w:trPr>
        <w:tc>
          <w:tcPr>
            <w:tcW w:type="dxa" w:w="82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Code</w:t>
            </w:r>
          </w:p>
        </w:tc>
        <w:tc>
          <w:tcPr>
            <w:tcW w:type="dxa" w:w="191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Company</w:t>
            </w:r>
          </w:p>
        </w:tc>
        <w:tc>
          <w:tcPr>
            <w:tcW w:type="dxa" w:w="191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Type</w:t>
            </w:r>
          </w:p>
        </w:tc>
        <w:tc>
          <w:tcPr>
            <w:tcW w:type="dxa" w:w="136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Peak shares</w:t>
            </w:r>
          </w:p>
        </w:tc>
        <w:tc>
          <w:tcPr>
            <w:tcW w:type="dxa" w:w="123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 at peak</w:t>
            </w:r>
          </w:p>
        </w:tc>
        <w:tc>
          <w:tcPr>
            <w:tcW w:type="dxa" w:w="205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Position started</w:t>
            </w:r>
          </w:p>
        </w:tc>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Status</w:t>
            </w:r>
          </w:p>
        </w:tc>
        <w:tc>
          <w:tcPr>
            <w:tcW w:type="dxa" w:w="1643"/>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Direction</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2160</w:t>
            </w:r>
          </w:p>
        </w:tc>
        <w:tc>
          <w:tcPr>
            <w:tcW w:type="dxa" w:w="19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GNI Group</w:t>
            </w:r>
          </w:p>
        </w:tc>
        <w:tc>
          <w:tcPr>
            <w:tcW w:type="dxa" w:w="19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Officer holding</w:t>
            </w:r>
          </w:p>
        </w:tc>
        <w:tc>
          <w:tcPr>
            <w:tcW w:type="dxa" w:w="13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79,800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0.14%</w:t>
            </w:r>
          </w:p>
        </w:tc>
        <w:tc>
          <w:tcPr>
            <w:tcW w:type="dxa" w:w="20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2022-12-31 or earlier</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Held</w:t>
            </w:r>
          </w:p>
        </w:tc>
        <w:tc>
          <w:tcPr>
            <w:tcW w:type="dxa" w:w="16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w:t>
            </w:r>
          </w:p>
        </w:tc>
      </w:tr>
      <w:tr>
        <w:trPr>
          <w:cantSplit/>
        </w:trPr>
        <w:tc>
          <w:tcPr>
            <w:tcW w:type="dxa" w:w="8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6190</w:t>
            </w:r>
          </w:p>
        </w:tc>
        <w:tc>
          <w:tcPr>
            <w:tcW w:type="dxa" w:w="1915"/>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PhoenixBio</w:t>
            </w:r>
          </w:p>
        </w:tc>
        <w:tc>
          <w:tcPr>
            <w:tcW w:type="dxa" w:w="1915"/>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Top-10 shareholder</w:t>
            </w:r>
          </w:p>
        </w:tc>
        <w:tc>
          <w:tcPr>
            <w:tcW w:type="dxa" w:w="13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100,000</w:t>
            </w:r>
          </w:p>
        </w:tc>
        <w:tc>
          <w:tcPr>
            <w:tcW w:type="dxa" w:w="123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2.46%</w:t>
            </w:r>
          </w:p>
        </w:tc>
        <w:tc>
          <w:tcPr>
            <w:tcW w:type="dxa" w:w="205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Apr–Sep 2025</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Sold, off list by 2026-03-31</w:t>
            </w:r>
          </w:p>
        </w:tc>
        <w:tc>
          <w:tcPr>
            <w:tcW w:type="dxa" w:w="1643"/>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Decreasing</w:t>
            </w:r>
          </w:p>
        </w:tc>
      </w:tr>
      <w:tr>
        <w:trPr>
          <w:cantSplit/>
        </w:trPr>
        <w:tc>
          <w:tcPr>
            <w:tcW w:type="dxa" w:w="8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3461</w:t>
            </w:r>
          </w:p>
        </w:tc>
        <w:tc>
          <w:tcPr>
            <w:tcW w:type="dxa" w:w="19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Parma</w:t>
            </w:r>
          </w:p>
        </w:tc>
        <w:tc>
          <w:tcPr>
            <w:tcW w:type="dxa" w:w="19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Top-10 shareholder</w:t>
            </w:r>
          </w:p>
        </w:tc>
        <w:tc>
          <w:tcPr>
            <w:tcW w:type="dxa" w:w="13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17,100</w:t>
            </w:r>
          </w:p>
        </w:tc>
        <w:tc>
          <w:tcPr>
            <w:tcW w:type="dxa" w:w="123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1.24%</w:t>
            </w:r>
          </w:p>
        </w:tc>
        <w:tc>
          <w:tcPr>
            <w:tcW w:type="dxa" w:w="20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2017-09-30 or earlier</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Sold, off list after 2018-03-31</w:t>
            </w:r>
          </w:p>
        </w:tc>
        <w:tc>
          <w:tcPr>
            <w:tcW w:type="dxa" w:w="1643"/>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Exited</w:t>
            </w:r>
          </w:p>
        </w:tc>
      </w:tr>
    </w:tbl>
    <w:p>
      <w:pPr>
        <w:spacing w:after="80"/>
      </w:pPr>
    </w:p>
    <w:p>
      <w:pPr>
        <w:pStyle w:val="Heading2"/>
        <w:spacing w:after="80" w:before="200"/>
      </w:pPr>
      <w:r>
        <w:rPr>
          <w:rFonts w:ascii="Arial" w:cs="Arial" w:eastAsia="Yu Gothic" w:hAnsi="Arial"/>
          <w:b/>
          <w:bCs/>
          <w:color w:val="2E5597"/>
          <w:sz w:val="24"/>
          <w:szCs w:val="24"/>
        </w:rPr>
        <w:t xml:space="preserve">GNI Group (2160) history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2736"/>
        <w:gridCol w:w="2736"/>
        <w:gridCol w:w="2736"/>
        <w:gridCol w:w="2736"/>
      </w:tblGrid>
      <w:tr>
        <w:trPr>
          <w:tblHeader/>
        </w:trPr>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As of</w:t>
            </w:r>
          </w:p>
        </w:tc>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Shares</w:t>
            </w:r>
          </w:p>
        </w:tc>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 of company</w:t>
            </w:r>
          </w:p>
        </w:tc>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Close ¥</w:t>
            </w:r>
          </w:p>
        </w:tc>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Value ¥</w:t>
            </w:r>
          </w:p>
        </w:tc>
      </w:tr>
      <w:tr>
        <w:trPr>
          <w:cantSplit/>
        </w:trPr>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2022-12-31</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36,100</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0.08%</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1,393</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50.3M</w:t>
            </w:r>
          </w:p>
        </w:tc>
      </w:tr>
      <w:tr>
        <w:trPr>
          <w:cantSplit/>
        </w:trPr>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2023-12-31</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77,300</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0.16%</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2,830</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218.8M</w:t>
            </w:r>
          </w:p>
        </w:tc>
      </w:tr>
      <w:tr>
        <w:trPr>
          <w:cantSplit/>
        </w:trPr>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2024-12-31</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77,700</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0.15%</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3,405</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264.6M</w:t>
            </w:r>
          </w:p>
        </w:tc>
      </w:tr>
      <w:tr>
        <w:trPr>
          <w:cantSplit/>
        </w:trPr>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2025-12-31</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79,800</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0.14%</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2,412</w:t>
            </w:r>
          </w:p>
        </w:tc>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192.5M</w:t>
            </w:r>
          </w:p>
        </w:tc>
      </w:tr>
      <w:tr>
        <w:trPr>
          <w:cantSplit/>
        </w:trPr>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2026-09-29</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79,800</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0.14%</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3,260</w:t>
            </w:r>
          </w:p>
        </w:tc>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260.1M</w:t>
            </w:r>
          </w:p>
        </w:tc>
      </w:tr>
    </w:tbl>
    <w:p>
      <w:pPr>
        <w:spacing w:after="120"/>
      </w:pPr>
      <w:r>
        <w:rPr>
          <w:rFonts w:ascii="Arial" w:cs="Arial" w:eastAsia="Yu Gothic" w:hAnsi="Arial"/>
          <w:sz w:val="18"/>
          <w:szCs w:val="18"/>
        </w:rPr>
        <w:t xml:space="preserve">He doubled his shares in 2023 and has added a little each year since. His percentage slipped slightly because GNI issued new shares.</w:t>
      </w:r>
    </w:p>
    <w:p>
      <w:pPr>
        <w:pStyle w:val="Heading2"/>
        <w:spacing w:after="80" w:before="200"/>
      </w:pPr>
      <w:r>
        <w:rPr>
          <w:rFonts w:ascii="Arial" w:cs="Arial" w:eastAsia="Yu Gothic" w:hAnsi="Arial"/>
          <w:b/>
          <w:bCs/>
          <w:color w:val="2E5597"/>
          <w:sz w:val="24"/>
          <w:szCs w:val="24"/>
        </w:rPr>
        <w:t xml:space="preserve">PhoenixBio (6190) history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4104"/>
        <w:gridCol w:w="2188"/>
        <w:gridCol w:w="1915"/>
        <w:gridCol w:w="2737"/>
      </w:tblGrid>
      <w:tr>
        <w:trPr>
          <w:tblHeader/>
        </w:trPr>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As of</w:t>
            </w:r>
          </w:p>
        </w:tc>
        <w:tc>
          <w:tcPr>
            <w:tcW w:type="dxa" w:w="410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Shares</w:t>
            </w:r>
          </w:p>
        </w:tc>
        <w:tc>
          <w:tcPr>
            <w:tcW w:type="dxa" w:w="218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 of company</w:t>
            </w:r>
          </w:p>
        </w:tc>
        <w:tc>
          <w:tcPr>
            <w:tcW w:type="dxa" w:w="191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Close ¥</w:t>
            </w:r>
          </w:p>
        </w:tc>
        <w:tc>
          <w:tcPr>
            <w:tcW w:type="dxa" w:w="273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Value ¥</w:t>
            </w:r>
          </w:p>
        </w:tc>
      </w:tr>
      <w:tr>
        <w:trPr>
          <w:cantSplit/>
        </w:trPr>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2025-09-30</w:t>
            </w:r>
          </w:p>
        </w:tc>
        <w:tc>
          <w:tcPr>
            <w:tcW w:type="dxa" w:w="41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100,000</w:t>
            </w:r>
          </w:p>
        </w:tc>
        <w:tc>
          <w:tcPr>
            <w:tcW w:type="dxa" w:w="218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2.46%</w:t>
            </w:r>
          </w:p>
        </w:tc>
        <w:tc>
          <w:tcPr>
            <w:tcW w:type="dxa" w:w="19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407</w:t>
            </w:r>
          </w:p>
        </w:tc>
        <w:tc>
          <w:tcPr>
            <w:tcW w:type="dxa" w:w="27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40.7M</w:t>
            </w:r>
          </w:p>
        </w:tc>
      </w:tr>
      <w:tr>
        <w:trPr>
          <w:cantSplit/>
        </w:trPr>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2026-03-31</w:t>
            </w:r>
          </w:p>
        </w:tc>
        <w:tc>
          <w:tcPr>
            <w:tcW w:type="dxa" w:w="41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Off top-10 list (10th holder has 52,018)</w:t>
            </w:r>
          </w:p>
        </w:tc>
        <w:tc>
          <w:tcPr>
            <w:tcW w:type="dxa" w:w="218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Under 1.28%</w:t>
            </w:r>
          </w:p>
        </w:tc>
        <w:tc>
          <w:tcPr>
            <w:tcW w:type="dxa" w:w="1915"/>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440</w:t>
            </w:r>
          </w:p>
        </w:tc>
        <w:tc>
          <w:tcPr>
            <w:tcW w:type="dxa" w:w="273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Treated as sold</w:t>
            </w:r>
          </w:p>
        </w:tc>
      </w:tr>
    </w:tbl>
    <w:p>
      <w:pPr>
        <w:pStyle w:val="Heading2"/>
        <w:spacing w:after="80" w:before="200"/>
      </w:pPr>
      <w:r>
        <w:rPr>
          <w:rFonts w:ascii="Arial" w:cs="Arial" w:eastAsia="Yu Gothic" w:hAnsi="Arial"/>
          <w:b/>
          <w:bCs/>
          <w:color w:val="2E5597"/>
          <w:sz w:val="24"/>
          <w:szCs w:val="24"/>
        </w:rPr>
        <w:t xml:space="preserve">Parma (3461) history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3420"/>
        <w:gridCol w:w="2462"/>
        <w:gridCol w:w="2325"/>
        <w:gridCol w:w="2737"/>
      </w:tblGrid>
      <w:tr>
        <w:trPr>
          <w:tblHeader/>
        </w:trPr>
        <w:tc>
          <w:tcPr>
            <w:tcW w:type="dxa" w:w="273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As of</w:t>
            </w:r>
          </w:p>
        </w:tc>
        <w:tc>
          <w:tcPr>
            <w:tcW w:type="dxa" w:w="342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Shares</w:t>
            </w:r>
          </w:p>
        </w:tc>
        <w:tc>
          <w:tcPr>
            <w:tcW w:type="dxa" w:w="246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 of company</w:t>
            </w:r>
          </w:p>
        </w:tc>
        <w:tc>
          <w:tcPr>
            <w:tcW w:type="dxa" w:w="232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Close ¥</w:t>
            </w:r>
          </w:p>
        </w:tc>
        <w:tc>
          <w:tcPr>
            <w:tcW w:type="dxa" w:w="2737"/>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Value ¥</w:t>
            </w:r>
          </w:p>
        </w:tc>
      </w:tr>
      <w:tr>
        <w:trPr>
          <w:cantSplit/>
        </w:trPr>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2017-09-30</w:t>
            </w:r>
          </w:p>
        </w:tc>
        <w:tc>
          <w:tcPr>
            <w:tcW w:type="dxa" w:w="34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14,600</w:t>
            </w:r>
          </w:p>
        </w:tc>
        <w:tc>
          <w:tcPr>
            <w:tcW w:type="dxa" w:w="246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1.08%</w:t>
            </w:r>
          </w:p>
        </w:tc>
        <w:tc>
          <w:tcPr>
            <w:tcW w:type="dxa" w:w="23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2,441</w:t>
            </w:r>
          </w:p>
        </w:tc>
        <w:tc>
          <w:tcPr>
            <w:tcW w:type="dxa" w:w="27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35.6M</w:t>
            </w:r>
          </w:p>
        </w:tc>
      </w:tr>
      <w:tr>
        <w:trPr>
          <w:cantSplit/>
        </w:trPr>
        <w:tc>
          <w:tcPr>
            <w:tcW w:type="dxa" w:w="273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2018-03-31</w:t>
            </w:r>
          </w:p>
        </w:tc>
        <w:tc>
          <w:tcPr>
            <w:tcW w:type="dxa" w:w="342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17,100</w:t>
            </w:r>
          </w:p>
        </w:tc>
        <w:tc>
          <w:tcPr>
            <w:tcW w:type="dxa" w:w="246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1.24%</w:t>
            </w:r>
          </w:p>
        </w:tc>
        <w:tc>
          <w:tcPr>
            <w:tcW w:type="dxa" w:w="2325"/>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3,800</w:t>
            </w:r>
          </w:p>
        </w:tc>
        <w:tc>
          <w:tcPr>
            <w:tcW w:type="dxa" w:w="2737"/>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65.0M</w:t>
            </w:r>
          </w:p>
        </w:tc>
      </w:tr>
      <w:tr>
        <w:trPr>
          <w:cantSplit/>
        </w:trPr>
        <w:tc>
          <w:tcPr>
            <w:tcW w:type="dxa" w:w="273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2018-09-30</w:t>
            </w:r>
          </w:p>
        </w:tc>
        <w:tc>
          <w:tcPr>
            <w:tcW w:type="dxa" w:w="342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Off top-10 list</w:t>
            </w:r>
          </w:p>
        </w:tc>
        <w:tc>
          <w:tcPr>
            <w:tcW w:type="dxa" w:w="246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
            </w:r>
          </w:p>
        </w:tc>
        <w:tc>
          <w:tcPr>
            <w:tcW w:type="dxa" w:w="232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
            </w:r>
          </w:p>
        </w:tc>
        <w:tc>
          <w:tcPr>
            <w:tcW w:type="dxa" w:w="2737"/>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Treated as sold</w:t>
            </w:r>
          </w:p>
        </w:tc>
      </w:tr>
    </w:tbl>
    <w:p>
      <w:pPr>
        <w:spacing w:after="120"/>
      </w:pPr>
      <w:r>
        <w:rPr>
          <w:rFonts w:ascii="Arial" w:cs="Arial" w:eastAsia="Yu Gothic" w:hAnsi="Arial"/>
          <w:sz w:val="18"/>
          <w:szCs w:val="18"/>
        </w:rPr>
        <w:t xml:space="preserve">Parma split its shares 2-for-1 twice in 2018, in July and December.</w:t>
      </w:r>
    </w:p>
    <w:p>
      <w:pPr>
        <w:pStyle w:val="Heading2"/>
        <w:spacing w:after="80" w:before="200"/>
      </w:pPr>
      <w:r>
        <w:rPr>
          <w:rFonts w:ascii="Arial" w:cs="Arial" w:eastAsia="Yu Gothic" w:hAnsi="Arial"/>
          <w:b/>
          <w:bCs/>
          <w:color w:val="2E5597"/>
          <w:sz w:val="24"/>
          <w:szCs w:val="24"/>
        </w:rPr>
        <w:t xml:space="preserve">Asset estimate</w:t>
      </w:r>
    </w:p>
    <w:p>
      <w:pPr>
        <w:spacing w:after="120"/>
      </w:pPr>
      <w:r>
        <w:rPr>
          <w:rFonts w:ascii="Arial" w:cs="Arial" w:eastAsia="Yu Gothic" w:hAnsi="Arial"/>
          <w:sz w:val="20"/>
          <w:szCs w:val="20"/>
        </w:rPr>
        <w:t xml:space="preserve">Each stake is valued at its peak size. Dropping off a top-10 list is treated as a full sale, priced at the average close between the last list he appeared on and the first one he was missing from.</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1296"/>
        <w:gridCol w:w="2304"/>
        <w:gridCol w:w="3168"/>
        <w:gridCol w:w="2592"/>
        <w:gridCol w:w="1440"/>
        <w:gridCol w:w="1296"/>
      </w:tblGrid>
      <w:tr>
        <w:trPr>
          <w:tblHeader/>
        </w:trPr>
        <w:tc>
          <w:tcPr>
            <w:tcW w:type="dxa" w:w="158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Stake</w:t>
            </w:r>
          </w:p>
        </w:tc>
        <w:tc>
          <w:tcPr>
            <w:tcW w:type="dxa" w:w="129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Peak shares</w:t>
            </w:r>
          </w:p>
        </w:tc>
        <w:tc>
          <w:tcPr>
            <w:tcW w:type="dxa" w:w="230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Est. cost ¥</w:t>
            </w:r>
          </w:p>
        </w:tc>
        <w:tc>
          <w:tcPr>
            <w:tcW w:type="dxa" w:w="316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Sale window and average price</w:t>
            </w:r>
          </w:p>
        </w:tc>
        <w:tc>
          <w:tcPr>
            <w:tcW w:type="dxa" w:w="259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Est. proceeds ¥ (range)</w:t>
            </w:r>
          </w:p>
        </w:tc>
        <w:tc>
          <w:tcPr>
            <w:tcW w:type="dxa" w:w="144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Est. gain ¥</w:t>
            </w:r>
          </w:p>
        </w:tc>
        <w:tc>
          <w:tcPr>
            <w:tcW w:type="dxa" w:w="129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Form now</w:t>
            </w:r>
          </w:p>
        </w:tc>
      </w:tr>
      <w:tr>
        <w:trPr>
          <w:cantSplit/>
        </w:trPr>
        <w:tc>
          <w:tcPr>
            <w:tcW w:type="dxa" w:w="15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GNI Group</w:t>
            </w:r>
          </w:p>
        </w:tc>
        <w:tc>
          <w:tcPr>
            <w:tcW w:type="dxa" w:w="129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79,800</w:t>
            </w:r>
          </w:p>
        </w:tc>
        <w:tc>
          <w:tcPr>
            <w:tcW w:type="dxa" w:w="23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Unknown, officer shares</w:t>
            </w:r>
          </w:p>
        </w:tc>
        <w:tc>
          <w:tcPr>
            <w:tcW w:type="dxa" w:w="31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Still held, ¥3,260 today</w:t>
            </w:r>
          </w:p>
        </w:tc>
        <w:tc>
          <w:tcPr>
            <w:tcW w:type="dxa" w:w="25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260.1M market value</w:t>
            </w:r>
          </w:p>
        </w:tc>
        <w:tc>
          <w:tcPr>
            <w:tcW w:type="dxa" w:w="14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n/a</w:t>
            </w:r>
          </w:p>
        </w:tc>
        <w:tc>
          <w:tcPr>
            <w:tcW w:type="dxa" w:w="129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Stock</w:t>
            </w:r>
          </w:p>
        </w:tc>
      </w:tr>
      <w:tr>
        <w:trPr>
          <w:cantSplit/>
        </w:trPr>
        <w:tc>
          <w:tcPr>
            <w:tcW w:type="dxa" w:w="158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PhoenixBio</w:t>
            </w:r>
          </w:p>
        </w:tc>
        <w:tc>
          <w:tcPr>
            <w:tcW w:type="dxa" w:w="129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100,000</w:t>
            </w:r>
          </w:p>
        </w:tc>
        <w:tc>
          <w:tcPr>
            <w:tcW w:type="dxa" w:w="23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~38.4M (Apr–Sep 2025 avg ¥384)</w:t>
            </w:r>
          </w:p>
        </w:tc>
        <w:tc>
          <w:tcPr>
            <w:tcW w:type="dxa" w:w="31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Oct 2025–Mar 2026, avg ¥484</w:t>
            </w:r>
          </w:p>
        </w:tc>
        <w:tc>
          <w:tcPr>
            <w:tcW w:type="dxa" w:w="25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48.4M (39.5M–67.8M)</w:t>
            </w:r>
          </w:p>
        </w:tc>
        <w:tc>
          <w:tcPr>
            <w:tcW w:type="dxa" w:w="144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~+10M</w:t>
            </w:r>
          </w:p>
        </w:tc>
        <w:tc>
          <w:tcPr>
            <w:tcW w:type="dxa" w:w="129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Cash</w:t>
            </w:r>
          </w:p>
        </w:tc>
      </w:tr>
      <w:tr>
        <w:trPr>
          <w:cantSplit/>
        </w:trPr>
        <w:tc>
          <w:tcPr>
            <w:tcW w:type="dxa" w:w="158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Parma</w:t>
            </w:r>
          </w:p>
        </w:tc>
        <w:tc>
          <w:tcPr>
            <w:tcW w:type="dxa" w:w="129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17,100</w:t>
            </w:r>
          </w:p>
        </w:tc>
        <w:tc>
          <w:tcPr>
            <w:tcW w:type="dxa" w:w="230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~32.2M</w:t>
            </w:r>
          </w:p>
        </w:tc>
        <w:tc>
          <w:tcPr>
            <w:tcW w:type="dxa" w:w="31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Apr–Sep 2018, avg ¥4,918 per pre-split share</w:t>
            </w:r>
          </w:p>
        </w:tc>
        <w:tc>
          <w:tcPr>
            <w:tcW w:type="dxa" w:w="259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84.1M (59.9M–145.4M)</w:t>
            </w:r>
          </w:p>
        </w:tc>
        <w:tc>
          <w:tcPr>
            <w:tcW w:type="dxa" w:w="14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~+52M</w:t>
            </w:r>
          </w:p>
        </w:tc>
        <w:tc>
          <w:tcPr>
            <w:tcW w:type="dxa" w:w="129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Cash</w:t>
            </w:r>
          </w:p>
        </w:tc>
      </w:tr>
      <w:tr>
        <w:trPr>
          <w:cantSplit/>
        </w:trPr>
        <w:tc>
          <w:tcPr>
            <w:tcW w:type="dxa" w:w="158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Total</w:t>
            </w:r>
          </w:p>
        </w:tc>
        <w:tc>
          <w:tcPr>
            <w:tcW w:type="dxa" w:w="129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
            </w:r>
          </w:p>
        </w:tc>
        <w:tc>
          <w:tcPr>
            <w:tcW w:type="dxa" w:w="230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
            </w:r>
          </w:p>
        </w:tc>
        <w:tc>
          <w:tcPr>
            <w:tcW w:type="dxa" w:w="31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
            </w:r>
          </w:p>
        </w:tc>
        <w:tc>
          <w:tcPr>
            <w:tcW w:type="dxa" w:w="259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~392.6M</w:t>
            </w:r>
          </w:p>
        </w:tc>
        <w:tc>
          <w:tcPr>
            <w:tcW w:type="dxa" w:w="144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~+62M</w:t>
            </w:r>
          </w:p>
        </w:tc>
        <w:tc>
          <w:tcPr>
            <w:tcW w:type="dxa" w:w="129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
            </w:r>
          </w:p>
        </w:tc>
      </w:tr>
    </w:tbl>
    <w:p>
      <w:pPr>
        <w:spacing w:after="80"/>
      </w:pPr>
    </w:p>
    <w:p>
      <w:pPr>
        <w:pStyle w:val="ListParagraph"/>
        <w:numPr>
          <w:ilvl w:val="0"/>
          <w:numId w:val="2"/>
        </w:numPr>
        <w:spacing w:after="60"/>
      </w:pPr>
      <w:r>
        <w:rPr>
          <w:rFonts w:ascii="Arial" w:cs="Arial" w:eastAsia="Yu Gothic" w:hAnsi="Arial"/>
          <w:b/>
          <w:bCs/>
          <w:sz w:val="20"/>
          <w:szCs w:val="20"/>
        </w:rPr>
        <w:t xml:space="preserve">Estimated total: about ¥393 million, or roughly $2.5 million.</w:t>
      </w:r>
      <w:r>
        <w:rPr>
          <w:rFonts w:ascii="Arial" w:cs="Arial" w:eastAsia="Yu Gothic" w:hAnsi="Arial"/>
          <w:sz w:val="20"/>
          <w:szCs w:val="20"/>
        </w:rPr>
        <w:t xml:space="preserve"> That is ¥260 million of GNI stock plus about ¥132 million of cash from the two sales.</w:t>
      </w:r>
    </w:p>
    <w:p>
      <w:pPr>
        <w:pStyle w:val="ListParagraph"/>
        <w:numPr>
          <w:ilvl w:val="0"/>
          <w:numId w:val="2"/>
        </w:numPr>
        <w:spacing w:after="60"/>
      </w:pPr>
      <w:r>
        <w:rPr>
          <w:rFonts w:ascii="Arial" w:cs="Arial" w:eastAsia="Yu Gothic" w:hAnsi="Arial"/>
          <w:b/>
          <w:bCs/>
          <w:sz w:val="20"/>
          <w:szCs w:val="20"/>
        </w:rPr>
        <w:t xml:space="preserve">Possible double count.</w:t>
      </w:r>
      <w:r>
        <w:rPr>
          <w:rFonts w:ascii="Arial" w:cs="Arial" w:eastAsia="Yu Gothic" w:hAnsi="Arial"/>
          <w:sz w:val="20"/>
          <w:szCs w:val="20"/>
        </w:rPr>
        <w:t xml:space="preserve"> His 2023 purchase of 41,200 GNI shares cost about ¥60–115 million. If the Parma proceeds paid for it, the total is closer to ¥310–330 million.</w:t>
      </w:r>
    </w:p>
    <w:p>
      <w:pPr>
        <w:pStyle w:val="ListParagraph"/>
        <w:numPr>
          <w:ilvl w:val="0"/>
          <w:numId w:val="2"/>
        </w:numPr>
        <w:spacing w:after="60"/>
      </w:pPr>
      <w:r>
        <w:rPr>
          <w:rFonts w:ascii="Arial" w:cs="Arial" w:eastAsia="Yu Gothic" w:hAnsi="Arial"/>
          <w:b/>
          <w:bCs/>
          <w:sz w:val="20"/>
          <w:szCs w:val="20"/>
        </w:rPr>
        <w:t xml:space="preserve">This is a floor.</w:t>
      </w:r>
      <w:r>
        <w:rPr>
          <w:rFonts w:ascii="Arial" w:cs="Arial" w:eastAsia="Yu Gothic" w:hAnsi="Arial"/>
          <w:sz w:val="20"/>
          <w:szCs w:val="20"/>
        </w:rPr>
        <w:t xml:space="preserve"> It excludes GNI stock options, salary, his investment company, stakes too small for a top-10 list and anything outside Japanese listed stocks.</w:t>
      </w:r>
    </w:p>
    <w:p>
      <w:pPr>
        <w:pStyle w:val="Heading1"/>
        <w:spacing w:after="120" w:before="240"/>
      </w:pPr>
      <w:r>
        <w:rPr>
          <w:rFonts w:ascii="Arial" w:cs="Arial" w:eastAsia="Yu Gothic" w:hAnsi="Arial"/>
          <w:b/>
          <w:bCs/>
          <w:color w:val="1F3864"/>
          <w:sz w:val="30"/>
          <w:szCs w:val="30"/>
        </w:rPr>
        <w:t xml:space="preserve">3. GNI Group (2160) company profile</w:t>
      </w:r>
    </w:p>
    <w:p>
      <w:pPr>
        <w:spacing w:after="120"/>
      </w:pPr>
      <w:r>
        <w:rPr>
          <w:rFonts w:ascii="Arial" w:cs="Arial" w:eastAsia="Yu Gothic" w:hAnsi="Arial"/>
          <w:sz w:val="20"/>
          <w:szCs w:val="20"/>
        </w:rPr>
        <w:t xml:space="preserve">A Tokyo-listed drug company (TSE Growth, market cap about ¥215 billion) whose business is mostly in China. It sells a lung-fibrosis drug there, owns a US bone-graft business and a US drug-discovery unit, and has about 990 employees, 760 of them in China.</w:t>
      </w:r>
    </w:p>
    <w:p>
      <w:pPr>
        <w:pStyle w:val="Heading2"/>
        <w:spacing w:after="80" w:before="200"/>
      </w:pPr>
      <w:r>
        <w:rPr>
          <w:rFonts w:ascii="Arial" w:cs="Arial" w:eastAsia="Yu Gothic" w:hAnsi="Arial"/>
          <w:b/>
          <w:bCs/>
          <w:color w:val="2E5597"/>
          <w:sz w:val="24"/>
          <w:szCs w:val="24"/>
        </w:rPr>
        <w:t xml:space="preserve">Segments, FY2025 (December year-end)</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5"/>
        <w:gridCol w:w="1641"/>
        <w:gridCol w:w="1915"/>
        <w:gridCol w:w="8209"/>
      </w:tblGrid>
      <w:tr>
        <w:trPr>
          <w:tblHeader/>
        </w:trPr>
        <w:tc>
          <w:tcPr>
            <w:tcW w:type="dxa" w:w="191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Segment</w:t>
            </w:r>
          </w:p>
        </w:tc>
        <w:tc>
          <w:tcPr>
            <w:tcW w:type="dxa" w:w="1641"/>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Revenue</w:t>
            </w:r>
          </w:p>
        </w:tc>
        <w:tc>
          <w:tcPr>
            <w:tcW w:type="dxa" w:w="1915"/>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Operating profit</w:t>
            </w:r>
          </w:p>
        </w:tc>
        <w:tc>
          <w:tcPr>
            <w:tcW w:type="dxa" w:w="8209"/>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What it is</w:t>
            </w:r>
          </w:p>
        </w:tc>
      </w:tr>
      <w:tr>
        <w:trPr>
          <w:cantSplit/>
        </w:trPr>
        <w:tc>
          <w:tcPr>
            <w:tcW w:type="dxa" w:w="19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Pharma</w:t>
            </w:r>
          </w:p>
        </w:tc>
        <w:tc>
          <w:tcPr>
            <w:tcW w:type="dxa" w:w="16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¥17.3B</w:t>
            </w:r>
          </w:p>
        </w:tc>
        <w:tc>
          <w:tcPr>
            <w:tcW w:type="dxa" w:w="19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¥3.2B</w:t>
            </w:r>
          </w:p>
        </w:tc>
        <w:tc>
          <w:tcPr>
            <w:tcW w:type="dxa" w:w="82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Chinese drugs, led by Etuary, sold through Gyre (Nasdaq: GYRE, about 70% owned)</w:t>
            </w:r>
          </w:p>
        </w:tc>
      </w:tr>
      <w:tr>
        <w:trPr>
          <w:cantSplit/>
        </w:trPr>
        <w:tc>
          <w:tcPr>
            <w:tcW w:type="dxa" w:w="1915"/>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Medtech</w:t>
            </w:r>
          </w:p>
        </w:tc>
        <w:tc>
          <w:tcPr>
            <w:tcW w:type="dxa" w:w="164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¥7.6B</w:t>
            </w:r>
          </w:p>
        </w:tc>
        <w:tc>
          <w:tcPr>
            <w:tcW w:type="dxa" w:w="1915"/>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¥1.3B</w:t>
            </w:r>
          </w:p>
        </w:tc>
        <w:tc>
          <w:tcPr>
            <w:tcW w:type="dxa" w:w="82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US orthopedic biomaterials (Berkeley Advanced Biomaterials) plus a Japanese dental lab</w:t>
            </w:r>
          </w:p>
        </w:tc>
      </w:tr>
      <w:tr>
        <w:trPr>
          <w:cantSplit/>
        </w:trPr>
        <w:tc>
          <w:tcPr>
            <w:tcW w:type="dxa" w:w="19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Biotech</w:t>
            </w:r>
          </w:p>
        </w:tc>
        <w:tc>
          <w:tcPr>
            <w:tcW w:type="dxa" w:w="1641"/>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¥0.8B</w:t>
            </w:r>
          </w:p>
        </w:tc>
        <w:tc>
          <w:tcPr>
            <w:tcW w:type="dxa" w:w="1915"/>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−¥4.0B</w:t>
            </w:r>
          </w:p>
        </w:tc>
        <w:tc>
          <w:tcPr>
            <w:tcW w:type="dxa" w:w="8209"/>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Cullgen, an early-stage protein-degrader drug developer</w:t>
            </w:r>
          </w:p>
        </w:tc>
      </w:tr>
      <w:tr>
        <w:trPr>
          <w:cantSplit/>
        </w:trPr>
        <w:tc>
          <w:tcPr>
            <w:tcW w:type="dxa" w:w="1915"/>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Group total</w:t>
            </w:r>
          </w:p>
        </w:tc>
        <w:tc>
          <w:tcPr>
            <w:tcW w:type="dxa" w:w="1641"/>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¥26.8B</w:t>
            </w:r>
          </w:p>
        </w:tc>
        <w:tc>
          <w:tcPr>
            <w:tcW w:type="dxa" w:w="1915"/>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−¥3.5B</w:t>
            </w:r>
          </w:p>
        </w:tc>
        <w:tc>
          <w:tcPr>
            <w:tcW w:type="dxa" w:w="8209"/>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
            </w:r>
          </w:p>
        </w:tc>
      </w:tr>
    </w:tbl>
    <w:p>
      <w:pPr>
        <w:spacing w:after="80"/>
      </w:pPr>
    </w:p>
    <w:p>
      <w:pPr>
        <w:pStyle w:val="Heading2"/>
        <w:spacing w:after="80" w:before="200"/>
      </w:pPr>
      <w:r>
        <w:rPr>
          <w:rFonts w:ascii="Arial" w:cs="Arial" w:eastAsia="Yu Gothic" w:hAnsi="Arial"/>
          <w:b/>
          <w:bCs/>
          <w:color w:val="2E5597"/>
          <w:sz w:val="24"/>
          <w:szCs w:val="24"/>
        </w:rPr>
        <w:t xml:space="preserve">Key products and pipeline</w:t>
      </w:r>
    </w:p>
    <w:p>
      <w:pPr>
        <w:pStyle w:val="ListParagraph"/>
        <w:numPr>
          <w:ilvl w:val="0"/>
          <w:numId w:val="2"/>
        </w:numPr>
        <w:spacing w:after="60"/>
      </w:pPr>
      <w:r>
        <w:rPr>
          <w:rFonts w:ascii="Arial" w:cs="Arial" w:eastAsia="Yu Gothic" w:hAnsi="Arial"/>
          <w:b/>
          <w:bCs/>
          <w:sz w:val="20"/>
          <w:szCs w:val="20"/>
        </w:rPr>
        <w:t xml:space="preserve">Etuary (pirfenidone).</w:t>
      </w:r>
      <w:r>
        <w:rPr>
          <w:rFonts w:ascii="Arial" w:cs="Arial" w:eastAsia="Yu Gothic" w:hAnsi="Arial"/>
          <w:sz w:val="20"/>
          <w:szCs w:val="20"/>
        </w:rPr>
        <w:t xml:space="preserve"> Treats idiopathic pulmonary fibrosis. It holds about half of that market in China and has gross margins above 90%.</w:t>
      </w:r>
    </w:p>
    <w:p>
      <w:pPr>
        <w:pStyle w:val="ListParagraph"/>
        <w:numPr>
          <w:ilvl w:val="0"/>
          <w:numId w:val="2"/>
        </w:numPr>
        <w:spacing w:after="60"/>
      </w:pPr>
      <w:r>
        <w:rPr>
          <w:rFonts w:ascii="Arial" w:cs="Arial" w:eastAsia="Yu Gothic" w:hAnsi="Arial"/>
          <w:b/>
          <w:bCs/>
          <w:sz w:val="20"/>
          <w:szCs w:val="20"/>
        </w:rPr>
        <w:t xml:space="preserve">Hydronidone (F351).</w:t>
      </w:r>
      <w:r>
        <w:rPr>
          <w:rFonts w:ascii="Arial" w:cs="Arial" w:eastAsia="Yu Gothic" w:hAnsi="Arial"/>
          <w:sz w:val="20"/>
          <w:szCs w:val="20"/>
        </w:rPr>
        <w:t xml:space="preserve"> Treats liver fibrosis caused by hepatitis B, which has no approved therapy. It passed Phase 3 in May 2025, and the Chinese approval application was filed in March 2026 under priority review. A US trial is planned.</w:t>
      </w:r>
    </w:p>
    <w:p>
      <w:pPr>
        <w:pStyle w:val="ListParagraph"/>
        <w:numPr>
          <w:ilvl w:val="0"/>
          <w:numId w:val="2"/>
        </w:numPr>
        <w:spacing w:after="60"/>
      </w:pPr>
      <w:r>
        <w:rPr>
          <w:rFonts w:ascii="Arial" w:cs="Arial" w:eastAsia="Yu Gothic" w:hAnsi="Arial"/>
          <w:b/>
          <w:bCs/>
          <w:sz w:val="20"/>
          <w:szCs w:val="20"/>
        </w:rPr>
        <w:t xml:space="preserve">Newer launches.</w:t>
      </w:r>
      <w:r>
        <w:rPr>
          <w:rFonts w:ascii="Arial" w:cs="Arial" w:eastAsia="Yu Gothic" w:hAnsi="Arial"/>
          <w:sz w:val="20"/>
          <w:szCs w:val="20"/>
        </w:rPr>
        <w:t xml:space="preserve"> Contiva and Etorel launched in China in 2025.</w:t>
      </w:r>
    </w:p>
    <w:p>
      <w:pPr>
        <w:pStyle w:val="ListParagraph"/>
        <w:numPr>
          <w:ilvl w:val="0"/>
          <w:numId w:val="2"/>
        </w:numPr>
        <w:spacing w:after="60"/>
      </w:pPr>
      <w:r>
        <w:rPr>
          <w:rFonts w:ascii="Arial" w:cs="Arial" w:eastAsia="Yu Gothic" w:hAnsi="Arial"/>
          <w:b/>
          <w:bCs/>
          <w:sz w:val="20"/>
          <w:szCs w:val="20"/>
        </w:rPr>
        <w:t xml:space="preserve">Cullgen.</w:t>
      </w:r>
      <w:r>
        <w:rPr>
          <w:rFonts w:ascii="Arial" w:cs="Arial" w:eastAsia="Yu Gothic" w:hAnsi="Arial"/>
          <w:sz w:val="20"/>
          <w:szCs w:val="20"/>
        </w:rPr>
        <w:t xml:space="preserve"> Gyre acquired it within the group in May 2026 in a roughly $300 million all-stock deal.</w:t>
      </w:r>
    </w:p>
    <w:p>
      <w:pPr>
        <w:pStyle w:val="Heading2"/>
        <w:spacing w:after="80" w:before="200"/>
      </w:pPr>
      <w:r>
        <w:rPr>
          <w:rFonts w:ascii="Arial" w:cs="Arial" w:eastAsia="Yu Gothic" w:hAnsi="Arial"/>
          <w:b/>
          <w:bCs/>
          <w:color w:val="2E5597"/>
          <w:sz w:val="24"/>
          <w:szCs w:val="24"/>
        </w:rPr>
        <w:t xml:space="preserve">Recent results and outlook</w:t>
      </w:r>
    </w:p>
    <w:p>
      <w:pPr>
        <w:pStyle w:val="ListParagraph"/>
        <w:numPr>
          <w:ilvl w:val="0"/>
          <w:numId w:val="2"/>
        </w:numPr>
        <w:spacing w:after="60"/>
      </w:pPr>
      <w:r>
        <w:rPr>
          <w:rFonts w:ascii="Arial" w:cs="Arial" w:eastAsia="Yu Gothic" w:hAnsi="Arial"/>
          <w:b/>
          <w:bCs/>
          <w:sz w:val="20"/>
          <w:szCs w:val="20"/>
        </w:rPr>
        <w:t xml:space="preserve">The 2025 loss was mostly one-offs.</w:t>
      </w:r>
      <w:r>
        <w:rPr>
          <w:rFonts w:ascii="Arial" w:cs="Arial" w:eastAsia="Yu Gothic" w:hAnsi="Arial"/>
          <w:sz w:val="20"/>
          <w:szCs w:val="20"/>
        </w:rPr>
        <w:t xml:space="preserve"> A prior-year ¥1.6 billion one-time gain did not repeat. There were also Cullgen listing costs, a derivatives loss, writedowns and a ¥2 billion tax charge.</w:t>
      </w:r>
    </w:p>
    <w:p>
      <w:pPr>
        <w:pStyle w:val="ListParagraph"/>
        <w:numPr>
          <w:ilvl w:val="0"/>
          <w:numId w:val="2"/>
        </w:numPr>
        <w:spacing w:after="60"/>
      </w:pPr>
      <w:r>
        <w:rPr>
          <w:rFonts w:ascii="Arial" w:cs="Arial" w:eastAsia="Yu Gothic" w:hAnsi="Arial"/>
          <w:b/>
          <w:bCs/>
          <w:sz w:val="20"/>
          <w:szCs w:val="20"/>
        </w:rPr>
        <w:t xml:space="preserve">First half of 2026.</w:t>
      </w:r>
      <w:r>
        <w:rPr>
          <w:rFonts w:ascii="Arial" w:cs="Arial" w:eastAsia="Yu Gothic" w:hAnsi="Arial"/>
          <w:sz w:val="20"/>
          <w:szCs w:val="20"/>
        </w:rPr>
        <w:t xml:space="preserve"> Revenue was ¥11.9 billion and operating profit ¥0.5 billion. The net result was still a ¥2.0 billion loss.</w:t>
      </w:r>
    </w:p>
    <w:p>
      <w:pPr>
        <w:pStyle w:val="ListParagraph"/>
        <w:numPr>
          <w:ilvl w:val="0"/>
          <w:numId w:val="2"/>
        </w:numPr>
        <w:spacing w:after="60"/>
      </w:pPr>
      <w:r>
        <w:rPr>
          <w:rFonts w:ascii="Arial" w:cs="Arial" w:eastAsia="Yu Gothic" w:hAnsi="Arial"/>
          <w:b/>
          <w:bCs/>
          <w:sz w:val="20"/>
          <w:szCs w:val="20"/>
        </w:rPr>
        <w:t xml:space="preserve">Guidance raised in August 2026.</w:t>
      </w:r>
      <w:r>
        <w:rPr>
          <w:rFonts w:ascii="Arial" w:cs="Arial" w:eastAsia="Yu Gothic" w:hAnsi="Arial"/>
          <w:sz w:val="20"/>
          <w:szCs w:val="20"/>
        </w:rPr>
        <w:t xml:space="preserve"> Revenue guidance went from ¥27.2 billion to ¥47.3 billion after the purchase of Ayumi Pharmaceutical, a Japanese specialty drug maker, closed on July 1, 2026. No profit forecast is given.</w:t>
      </w:r>
    </w:p>
    <w:p>
      <w:pPr>
        <w:pStyle w:val="Heading1"/>
        <w:spacing w:after="120" w:before="240"/>
      </w:pPr>
      <w:r>
        <w:rPr>
          <w:rFonts w:ascii="Arial" w:cs="Arial" w:eastAsia="Yu Gothic" w:hAnsi="Arial"/>
          <w:b/>
          <w:bCs/>
          <w:color w:val="1F3864"/>
          <w:sz w:val="30"/>
          <w:szCs w:val="30"/>
        </w:rPr>
        <w:t xml:space="preserve">4. Maiko Uda (宇田麻衣子)</w:t>
      </w:r>
    </w:p>
    <w:p>
      <w:pPr>
        <w:spacing w:after="120"/>
      </w:pPr>
      <w:r>
        <w:rPr>
          <w:rFonts w:ascii="Arial" w:cs="Arial" w:eastAsia="Yu Gothic" w:hAnsi="Arial"/>
          <w:sz w:val="20"/>
          <w:szCs w:val="20"/>
        </w:rPr>
        <w:t xml:space="preserve">Her legal name in filings is 蓮見麻衣子 (Hasumi Maiko). She is a former Fuji TV announcer with a Stanford MBA who worked as an analyst at Fidelity. Since 2009 she has managed Japanese equities at Everrich Asset Management, the advisory firm founded by her father Yutaka Uda. The two of them ranked as the top Japanese managers in Citywire's 2022 global Japan-equity ranking.</w:t>
      </w:r>
    </w:p>
    <w:p>
      <w:pPr>
        <w:spacing w:after="120"/>
      </w:pPr>
      <w:r>
        <w:rPr>
          <w:rFonts w:ascii="Arial" w:cs="Arial" w:eastAsia="Yu Gothic" w:hAnsi="Arial"/>
          <w:sz w:val="20"/>
          <w:szCs w:val="20"/>
        </w:rPr>
        <w:t xml:space="preserve">Neither she nor Everrich has ever filed a 5%+ stake, and she is on no top-10 shareholder list. Her only disclosed holdings are director shareholdings. Prices are 2026-09-29 J-Quants closes.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4"/>
        <w:gridCol w:w="2448"/>
        <w:gridCol w:w="3168"/>
        <w:gridCol w:w="1152"/>
        <w:gridCol w:w="1296"/>
        <w:gridCol w:w="1152"/>
        <w:gridCol w:w="2160"/>
        <w:gridCol w:w="1440"/>
      </w:tblGrid>
      <w:tr>
        <w:trPr>
          <w:tblHeader/>
        </w:trPr>
        <w:tc>
          <w:tcPr>
            <w:tcW w:type="dxa" w:w="864"/>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Code</w:t>
            </w:r>
          </w:p>
        </w:tc>
        <w:tc>
          <w:tcPr>
            <w:tcW w:type="dxa" w:w="244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Company</w:t>
            </w:r>
          </w:p>
        </w:tc>
        <w:tc>
          <w:tcPr>
            <w:tcW w:type="dxa" w:w="3168"/>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Her role</w:t>
            </w:r>
          </w:p>
        </w:tc>
        <w:tc>
          <w:tcPr>
            <w:tcW w:type="dxa" w:w="115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Shares</w:t>
            </w:r>
          </w:p>
        </w:tc>
        <w:tc>
          <w:tcPr>
            <w:tcW w:type="dxa" w:w="1296"/>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 owned</w:t>
            </w:r>
          </w:p>
        </w:tc>
        <w:tc>
          <w:tcPr>
            <w:tcW w:type="dxa" w:w="1152"/>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Value ¥</w:t>
            </w:r>
          </w:p>
        </w:tc>
        <w:tc>
          <w:tcPr>
            <w:tcW w:type="dxa" w:w="216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Position started</w:t>
            </w:r>
          </w:p>
        </w:tc>
        <w:tc>
          <w:tcPr>
            <w:tcW w:type="dxa" w:w="1440"/>
            <w:tcBorders>
              <w:top w:val="single" w:color="BFC7D5" w:sz="4"/>
              <w:left w:val="single" w:color="BFC7D5" w:sz="4"/>
              <w:bottom w:val="single" w:color="BFC7D5" w:sz="4"/>
              <w:right w:val="single" w:color="BFC7D5" w:sz="4"/>
            </w:tcBorders>
            <w:shd w:fill="1F3864" w:color="auto" w:val="clear"/>
            <w:tcMar>
              <w:top w:type="dxa" w:w="50"/>
              <w:left w:type="dxa" w:w="80"/>
              <w:bottom w:type="dxa" w:w="50"/>
              <w:right w:type="dxa" w:w="80"/>
            </w:tcMar>
          </w:tcPr>
          <w:p>
            <w:pPr>
              <w:jc w:val="left"/>
            </w:pPr>
            <w:r>
              <w:rPr>
                <w:rFonts w:ascii="Arial" w:cs="Arial" w:eastAsia="Yu Gothic" w:hAnsi="Arial"/>
                <w:b/>
                <w:bCs/>
                <w:color w:val="FFFFFF"/>
                <w:sz w:val="17"/>
                <w:szCs w:val="17"/>
              </w:rPr>
              <w:t xml:space="preserve">Direction</w:t>
            </w:r>
          </w:p>
        </w:tc>
      </w:tr>
      <w:tr>
        <w:trPr>
          <w:cantSplit/>
        </w:trPr>
        <w:tc>
          <w:tcPr>
            <w:tcW w:type="dxa" w:w="86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4689</w:t>
            </w:r>
          </w:p>
        </w:tc>
        <w:tc>
          <w:tcPr>
            <w:tcW w:type="dxa" w:w="24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LY Corp (formerly Z Holdings)</w:t>
            </w:r>
          </w:p>
        </w:tc>
        <w:tc>
          <w:tcPr>
            <w:tcW w:type="dxa" w:w="31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Outside director, audit committee, since 2021</w:t>
            </w:r>
          </w:p>
        </w:tc>
        <w:tc>
          <w:tcPr>
            <w:tcW w:type="dxa" w:w="11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10,200</w:t>
            </w:r>
          </w:p>
        </w:tc>
        <w:tc>
          <w:tcPr>
            <w:tcW w:type="dxa" w:w="129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Under 0.01%</w:t>
            </w:r>
          </w:p>
        </w:tc>
        <w:tc>
          <w:tcPr>
            <w:tcW w:type="dxa" w:w="11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5.3M</w:t>
            </w:r>
          </w:p>
        </w:tc>
        <w:tc>
          <w:tcPr>
            <w:tcW w:type="dxa" w:w="2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Apr 2022–Mar 2023</w:t>
            </w:r>
          </w:p>
        </w:tc>
        <w:tc>
          <w:tcPr>
            <w:tcW w:type="dxa" w:w="14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Increasing</w:t>
            </w:r>
          </w:p>
        </w:tc>
      </w:tr>
      <w:tr>
        <w:trPr>
          <w:cantSplit/>
        </w:trPr>
        <w:tc>
          <w:tcPr>
            <w:tcW w:type="dxa" w:w="86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7069</w:t>
            </w:r>
          </w:p>
        </w:tc>
        <w:tc>
          <w:tcPr>
            <w:tcW w:type="dxa" w:w="244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CyberBuzz</w:t>
            </w:r>
          </w:p>
        </w:tc>
        <w:tc>
          <w:tcPr>
            <w:tcW w:type="dxa" w:w="31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Outside director since 2018</w:t>
            </w:r>
          </w:p>
        </w:tc>
        <w:tc>
          <w:tcPr>
            <w:tcW w:type="dxa" w:w="115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10,000</w:t>
            </w:r>
          </w:p>
        </w:tc>
        <w:tc>
          <w:tcPr>
            <w:tcW w:type="dxa" w:w="129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0.12%</w:t>
            </w:r>
          </w:p>
        </w:tc>
        <w:tc>
          <w:tcPr>
            <w:tcW w:type="dxa" w:w="115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4.8M</w:t>
            </w:r>
          </w:p>
        </w:tc>
        <w:tc>
          <w:tcPr>
            <w:tcW w:type="dxa" w:w="216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Jun 2019–Sep 2020</w:t>
            </w:r>
          </w:p>
        </w:tc>
        <w:tc>
          <w:tcPr>
            <w:tcW w:type="dxa" w:w="144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Flat</w:t>
            </w:r>
          </w:p>
        </w:tc>
      </w:tr>
      <w:tr>
        <w:trPr>
          <w:cantSplit/>
        </w:trPr>
        <w:tc>
          <w:tcPr>
            <w:tcW w:type="dxa" w:w="864"/>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4056</w:t>
            </w:r>
          </w:p>
        </w:tc>
        <w:tc>
          <w:tcPr>
            <w:tcW w:type="dxa" w:w="244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Neural Group</w:t>
            </w:r>
          </w:p>
        </w:tc>
        <w:tc>
          <w:tcPr>
            <w:tcW w:type="dxa" w:w="3168"/>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Outside director since 2021</w:t>
            </w:r>
          </w:p>
        </w:tc>
        <w:tc>
          <w:tcPr>
            <w:tcW w:type="dxa" w:w="11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w:t>
            </w:r>
          </w:p>
        </w:tc>
        <w:tc>
          <w:tcPr>
            <w:tcW w:type="dxa" w:w="1296"/>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w:t>
            </w:r>
          </w:p>
        </w:tc>
        <w:tc>
          <w:tcPr>
            <w:tcW w:type="dxa" w:w="1152"/>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0</w:t>
            </w:r>
          </w:p>
        </w:tc>
        <w:tc>
          <w:tcPr>
            <w:tcW w:type="dxa" w:w="216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Never held</w:t>
            </w:r>
          </w:p>
        </w:tc>
        <w:tc>
          <w:tcPr>
            <w:tcW w:type="dxa" w:w="1440"/>
            <w:tcBorders>
              <w:top w:val="single" w:color="BFC7D5" w:sz="4"/>
              <w:left w:val="single" w:color="BFC7D5" w:sz="4"/>
              <w:bottom w:val="single" w:color="BFC7D5" w:sz="4"/>
              <w:right w:val="single" w:color="BFC7D5" w:sz="4"/>
            </w:tcBorders>
            <w:shd w:fill="FFFFFF"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n/a</w:t>
            </w:r>
          </w:p>
        </w:tc>
      </w:tr>
      <w:tr>
        <w:trPr>
          <w:cantSplit/>
        </w:trPr>
        <w:tc>
          <w:tcPr>
            <w:tcW w:type="dxa" w:w="864"/>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Total</w:t>
            </w:r>
          </w:p>
        </w:tc>
        <w:tc>
          <w:tcPr>
            <w:tcW w:type="dxa" w:w="244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
            </w:r>
          </w:p>
        </w:tc>
        <w:tc>
          <w:tcPr>
            <w:tcW w:type="dxa" w:w="3168"/>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
            </w:r>
          </w:p>
        </w:tc>
        <w:tc>
          <w:tcPr>
            <w:tcW w:type="dxa" w:w="115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
            </w:r>
          </w:p>
        </w:tc>
        <w:tc>
          <w:tcPr>
            <w:tcW w:type="dxa" w:w="1296"/>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
            </w:r>
          </w:p>
        </w:tc>
        <w:tc>
          <w:tcPr>
            <w:tcW w:type="dxa" w:w="1152"/>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right"/>
            </w:pPr>
            <w:r>
              <w:rPr>
                <w:rFonts w:ascii="Arial" w:cs="Arial" w:eastAsia="Yu Gothic" w:hAnsi="Arial"/>
                <w:b w:val="false"/>
                <w:bCs w:val="false"/>
                <w:sz w:val="17"/>
                <w:szCs w:val="17"/>
              </w:rPr>
              <w:t xml:space="preserve">~10.1M</w:t>
            </w:r>
          </w:p>
        </w:tc>
        <w:tc>
          <w:tcPr>
            <w:tcW w:type="dxa" w:w="216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
            </w:r>
          </w:p>
        </w:tc>
        <w:tc>
          <w:tcPr>
            <w:tcW w:type="dxa" w:w="1440"/>
            <w:tcBorders>
              <w:top w:val="single" w:color="BFC7D5" w:sz="4"/>
              <w:left w:val="single" w:color="BFC7D5" w:sz="4"/>
              <w:bottom w:val="single" w:color="BFC7D5" w:sz="4"/>
              <w:right w:val="single" w:color="BFC7D5" w:sz="4"/>
            </w:tcBorders>
            <w:shd w:fill="F2F5FA" w:color="auto" w:val="clear"/>
            <w:tcMar>
              <w:top w:type="dxa" w:w="50"/>
              <w:left w:type="dxa" w:w="80"/>
              <w:bottom w:type="dxa" w:w="50"/>
              <w:right w:type="dxa" w:w="80"/>
            </w:tcMar>
          </w:tcPr>
          <w:p>
            <w:pPr>
              <w:jc w:val="left"/>
            </w:pPr>
            <w:r>
              <w:rPr>
                <w:rFonts w:ascii="Arial" w:cs="Arial" w:eastAsia="Yu Gothic" w:hAnsi="Arial"/>
                <w:b w:val="false"/>
                <w:bCs w:val="false"/>
                <w:sz w:val="17"/>
                <w:szCs w:val="17"/>
              </w:rPr>
              <w:t xml:space="preserve"/>
            </w:r>
          </w:p>
        </w:tc>
      </w:tr>
    </w:tbl>
    <w:p>
      <w:pPr>
        <w:spacing w:after="80"/>
      </w:pPr>
    </w:p>
    <w:p>
      <w:pPr>
        <w:pStyle w:val="ListParagraph"/>
        <w:numPr>
          <w:ilvl w:val="0"/>
          <w:numId w:val="2"/>
        </w:numPr>
        <w:spacing w:after="60"/>
      </w:pPr>
      <w:r>
        <w:rPr>
          <w:rFonts w:ascii="Arial" w:cs="Arial" w:eastAsia="Yu Gothic" w:hAnsi="Arial"/>
          <w:b/>
          <w:bCs/>
          <w:sz w:val="20"/>
          <w:szCs w:val="20"/>
        </w:rPr>
        <w:t xml:space="preserve">LY Corp.</w:t>
      </w:r>
      <w:r>
        <w:rPr>
          <w:rFonts w:ascii="Arial" w:cs="Arial" w:eastAsia="Yu Gothic" w:hAnsi="Arial"/>
          <w:sz w:val="20"/>
          <w:szCs w:val="20"/>
        </w:rPr>
        <w:t xml:space="preserve"> She held 5,400 shares from 2023 through 2025. The rise to 10,200 by March 2026 includes 4,800 shares still to be delivered as director pay.</w:t>
      </w:r>
    </w:p>
    <w:p>
      <w:pPr>
        <w:pStyle w:val="ListParagraph"/>
        <w:numPr>
          <w:ilvl w:val="0"/>
          <w:numId w:val="2"/>
        </w:numPr>
        <w:spacing w:after="60"/>
      </w:pPr>
      <w:r>
        <w:rPr>
          <w:rFonts w:ascii="Arial" w:cs="Arial" w:eastAsia="Yu Gothic" w:hAnsi="Arial"/>
          <w:b/>
          <w:bCs/>
          <w:sz w:val="20"/>
          <w:szCs w:val="20"/>
        </w:rPr>
        <w:t xml:space="preserve">CyberBuzz.</w:t>
      </w:r>
      <w:r>
        <w:rPr>
          <w:rFonts w:ascii="Arial" w:cs="Arial" w:eastAsia="Yu Gothic" w:hAnsi="Arial"/>
          <w:sz w:val="20"/>
          <w:szCs w:val="20"/>
        </w:rPr>
        <w:t xml:space="preserve"> She bought 5,000 shares and has not traded since. The count doubled to 10,000 only because of a 2-for-1 split in June 2026.</w:t>
      </w:r>
    </w:p>
    <w:p>
      <w:pPr>
        <w:pStyle w:val="ListParagraph"/>
        <w:numPr>
          <w:ilvl w:val="0"/>
          <w:numId w:val="2"/>
        </w:numPr>
        <w:spacing w:after="60"/>
      </w:pPr>
      <w:r>
        <w:rPr>
          <w:rFonts w:ascii="Arial" w:cs="Arial" w:eastAsia="Yu Gothic" w:hAnsi="Arial"/>
          <w:b/>
          <w:bCs/>
          <w:sz w:val="20"/>
          <w:szCs w:val="20"/>
        </w:rPr>
        <w:t xml:space="preserve">Total disclosed: about ¥10 million, or roughly $64,000.</w:t>
      </w:r>
      <w:r>
        <w:rPr>
          <w:rFonts w:ascii="Arial" w:cs="Arial" w:eastAsia="Yu Gothic" w:hAnsi="Arial"/>
          <w:sz w:val="20"/>
          <w:szCs w:val="20"/>
        </w:rPr>
        <w:t xml:space="preserve"> The fund she manages is almost certainly far larger, but its positions stay private because it has never crossed 5% in any stock.</w:t>
      </w:r>
    </w:p>
    <w:p>
      <w:pPr>
        <w:pStyle w:val="Heading1"/>
        <w:spacing w:after="120" w:before="240"/>
      </w:pPr>
      <w:r>
        <w:rPr>
          <w:rFonts w:ascii="Arial" w:cs="Arial" w:eastAsia="Yu Gothic" w:hAnsi="Arial"/>
          <w:b/>
          <w:bCs/>
          <w:color w:val="1F3864"/>
          <w:sz w:val="30"/>
          <w:szCs w:val="30"/>
        </w:rPr>
        <w:t xml:space="preserve">Sources</w:t>
      </w:r>
    </w:p>
    <w:p>
      <w:pPr>
        <w:pStyle w:val="ListParagraph"/>
        <w:numPr>
          <w:ilvl w:val="0"/>
          <w:numId w:val="2"/>
        </w:numPr>
        <w:spacing w:after="40"/>
      </w:pPr>
      <w:hyperlink w:history="1" r:id="rId7nxothkygrz6m6is1epnr">
        <w:r>
          <w:rPr>
            <w:rStyle w:val="Hyperlink"/>
            <w:rFonts w:ascii="Arial" w:cs="Arial" w:eastAsia="Yu Gothic" w:hAnsi="Arial"/>
            <w:sz w:val="18"/>
            <w:szCs w:val="18"/>
          </w:rPr>
          <w:t xml:space="preserve">ufocatch (有報キャッチャー): EDINET large-shareholding reports</w:t>
        </w:r>
      </w:hyperlink>
    </w:p>
    <w:p>
      <w:pPr>
        <w:pStyle w:val="ListParagraph"/>
        <w:numPr>
          <w:ilvl w:val="0"/>
          <w:numId w:val="2"/>
        </w:numPr>
        <w:spacing w:after="40"/>
      </w:pPr>
      <w:hyperlink w:history="1" r:id="rIdbdlbmhi_sj2nyhrsh_ihv">
        <w:r>
          <w:rPr>
            <w:rStyle w:val="Hyperlink"/>
            <w:rFonts w:ascii="Arial" w:cs="Arial" w:eastAsia="Yu Gothic" w:hAnsi="Arial"/>
            <w:sz w:val="18"/>
            <w:szCs w:val="18"/>
          </w:rPr>
          <w:t xml:space="preserve">kabutore: Murakami-group large-shareholding report list</w:t>
        </w:r>
      </w:hyperlink>
    </w:p>
    <w:p>
      <w:pPr>
        <w:pStyle w:val="ListParagraph"/>
        <w:numPr>
          <w:ilvl w:val="0"/>
          <w:numId w:val="2"/>
        </w:numPr>
        <w:spacing w:after="40"/>
      </w:pPr>
      <w:hyperlink w:history="1" r:id="rIdzlisolhdskgd-pxa2e6vq">
        <w:r>
          <w:rPr>
            <w:rStyle w:val="Hyperlink"/>
            <w:rFonts w:ascii="Arial" w:cs="Arial" w:eastAsia="Yu Gothic" w:hAnsi="Arial"/>
            <w:sz w:val="18"/>
            <w:szCs w:val="18"/>
          </w:rPr>
          <w:t xml:space="preserve">Kaburidge: overview of Murakami entities</w:t>
        </w:r>
      </w:hyperlink>
    </w:p>
    <w:p>
      <w:pPr>
        <w:pStyle w:val="ListParagraph"/>
        <w:numPr>
          <w:ilvl w:val="0"/>
          <w:numId w:val="2"/>
        </w:numPr>
        <w:spacing w:after="40"/>
      </w:pPr>
      <w:hyperlink w:history="1" r:id="rIdr_eddmytqe5arppvpohyc">
        <w:r>
          <w:rPr>
            <w:rStyle w:val="Hyperlink"/>
            <w:rFonts w:ascii="Arial" w:cs="Arial" w:eastAsia="Yu Gothic" w:hAnsi="Arial"/>
            <w:sz w:val="18"/>
            <w:szCs w:val="18"/>
          </w:rPr>
          <w:t xml:space="preserve">IRBANK: 松井亮介</w:t>
        </w:r>
      </w:hyperlink>
    </w:p>
    <w:p>
      <w:pPr>
        <w:pStyle w:val="ListParagraph"/>
        <w:numPr>
          <w:ilvl w:val="0"/>
          <w:numId w:val="2"/>
        </w:numPr>
        <w:spacing w:after="40"/>
      </w:pPr>
      <w:hyperlink w:history="1" r:id="rIdt-doc3nmbq4d9zykxjfbw">
        <w:r>
          <w:rPr>
            <w:rStyle w:val="Hyperlink"/>
            <w:rFonts w:ascii="Arial" w:cs="Arial" w:eastAsia="Yu Gothic" w:hAnsi="Arial"/>
            <w:sz w:val="18"/>
            <w:szCs w:val="18"/>
          </w:rPr>
          <w:t xml:space="preserve">Kabutan: PhoenixBio major shareholders</w:t>
        </w:r>
      </w:hyperlink>
    </w:p>
    <w:p>
      <w:pPr>
        <w:pStyle w:val="ListParagraph"/>
        <w:numPr>
          <w:ilvl w:val="0"/>
          <w:numId w:val="2"/>
        </w:numPr>
        <w:spacing w:after="40"/>
      </w:pPr>
      <w:hyperlink w:history="1" r:id="rIdp2fubcu_c1z-88egakro2">
        <w:r>
          <w:rPr>
            <w:rStyle w:val="Hyperlink"/>
            <w:rFonts w:ascii="Arial" w:cs="Arial" w:eastAsia="Yu Gothic" w:hAnsi="Arial"/>
            <w:sz w:val="18"/>
            <w:szCs w:val="18"/>
          </w:rPr>
          <w:t xml:space="preserve">GNI Group executives</w:t>
        </w:r>
      </w:hyperlink>
    </w:p>
    <w:p>
      <w:pPr>
        <w:pStyle w:val="ListParagraph"/>
        <w:numPr>
          <w:ilvl w:val="0"/>
          <w:numId w:val="2"/>
        </w:numPr>
        <w:spacing w:after="40"/>
      </w:pPr>
      <w:hyperlink w:history="1" r:id="rIdqqbs_zfnrl0tdqdx0hgbl">
        <w:r>
          <w:rPr>
            <w:rStyle w:val="Hyperlink"/>
            <w:rFonts w:ascii="Arial" w:cs="Arial" w:eastAsia="Yu Gothic" w:hAnsi="Arial"/>
            <w:sz w:val="18"/>
            <w:szCs w:val="18"/>
          </w:rPr>
          <w:t xml:space="preserve">GNI Group business plan, March 2026</w:t>
        </w:r>
      </w:hyperlink>
    </w:p>
    <w:p>
      <w:pPr>
        <w:pStyle w:val="ListParagraph"/>
        <w:numPr>
          <w:ilvl w:val="0"/>
          <w:numId w:val="2"/>
        </w:numPr>
        <w:spacing w:after="40"/>
      </w:pPr>
      <w:hyperlink w:history="1" r:id="rIdk5zby_bdwjohk-cvav8fu">
        <w:r>
          <w:rPr>
            <w:rStyle w:val="Hyperlink"/>
            <w:rFonts w:ascii="Arial" w:cs="Arial" w:eastAsia="Yu Gothic" w:hAnsi="Arial"/>
            <w:sz w:val="18"/>
            <w:szCs w:val="18"/>
          </w:rPr>
          <w:t xml:space="preserve">GNI Group forecast revision, August 2026</w:t>
        </w:r>
      </w:hyperlink>
    </w:p>
    <w:p>
      <w:pPr>
        <w:pStyle w:val="ListParagraph"/>
        <w:numPr>
          <w:ilvl w:val="0"/>
          <w:numId w:val="2"/>
        </w:numPr>
        <w:spacing w:after="40"/>
      </w:pPr>
      <w:hyperlink w:history="1" r:id="rIdatquap1ub2vg-ifmai_cb">
        <w:r>
          <w:rPr>
            <w:rStyle w:val="Hyperlink"/>
            <w:rFonts w:ascii="Arial" w:cs="Arial" w:eastAsia="Yu Gothic" w:hAnsi="Arial"/>
            <w:sz w:val="18"/>
            <w:szCs w:val="18"/>
          </w:rPr>
          <w:t xml:space="preserve">Gyre Therapeutics Q2 2026 results</w:t>
        </w:r>
      </w:hyperlink>
    </w:p>
    <w:p>
      <w:pPr>
        <w:pStyle w:val="ListParagraph"/>
        <w:numPr>
          <w:ilvl w:val="0"/>
          <w:numId w:val="2"/>
        </w:numPr>
        <w:spacing w:after="40"/>
      </w:pPr>
      <w:hyperlink w:history="1" r:id="rId4dog3exqjxaca4swzjb27">
        <w:r>
          <w:rPr>
            <w:rStyle w:val="Hyperlink"/>
            <w:rFonts w:ascii="Arial" w:cs="Arial" w:eastAsia="Yu Gothic" w:hAnsi="Arial"/>
            <w:sz w:val="18"/>
            <w:szCs w:val="18"/>
          </w:rPr>
          <w:t xml:space="preserve">IRBANK officer record: 蓮見麻衣子</w:t>
        </w:r>
      </w:hyperlink>
    </w:p>
    <w:p>
      <w:pPr>
        <w:pStyle w:val="ListParagraph"/>
        <w:numPr>
          <w:ilvl w:val="0"/>
          <w:numId w:val="2"/>
        </w:numPr>
        <w:spacing w:after="40"/>
      </w:pPr>
      <w:hyperlink w:history="1" r:id="rIdn0gjbqwuprrohudfzadb0">
        <w:r>
          <w:rPr>
            <w:rStyle w:val="Hyperlink"/>
            <w:rFonts w:ascii="Arial" w:cs="Arial" w:eastAsia="Yu Gothic" w:hAnsi="Arial"/>
            <w:sz w:val="18"/>
            <w:szCs w:val="18"/>
          </w:rPr>
          <w:t xml:space="preserve">Wikipedia: 宇田麻衣子</w:t>
        </w:r>
      </w:hyperlink>
    </w:p>
    <w:p>
      <w:pPr>
        <w:pStyle w:val="ListParagraph"/>
        <w:numPr>
          <w:ilvl w:val="0"/>
          <w:numId w:val="2"/>
        </w:numPr>
        <w:spacing w:after="40"/>
      </w:pPr>
      <w:hyperlink w:history="1" r:id="rIdw0v5gu1bp7if1lhdifa9r">
        <w:r>
          <w:rPr>
            <w:rStyle w:val="Hyperlink"/>
            <w:rFonts w:ascii="Arial" w:cs="Arial" w:eastAsia="Yu Gothic" w:hAnsi="Arial"/>
            <w:sz w:val="18"/>
            <w:szCs w:val="18"/>
          </w:rPr>
          <w:t xml:space="preserve">Neural Group board page</w:t>
        </w:r>
      </w:hyperlink>
    </w:p>
    <w:p>
      <w:pPr>
        <w:spacing w:after="120"/>
      </w:pPr>
      <w:r>
        <w:rPr>
          <w:rFonts w:ascii="Arial" w:cs="Arial" w:eastAsia="Yu Gothic" w:hAnsi="Arial"/>
          <w:sz w:val="18"/>
          <w:szCs w:val="18"/>
        </w:rPr>
        <w:t xml:space="preserve">Share prices, listing status and share counts: J-Quants (JPX) API.</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Yu Gothic" w:hAnsi="Arial"/>
        <w:color w:val="888888"/>
        <w:sz w:val="16"/>
        <w:szCs w:val="16"/>
      </w:rPr>
      <w:t xml:space="preserve">Page </w:t>
    </w:r>
    <w:r>
      <w:rPr>
        <w:rFonts w:ascii="Arial" w:cs="Arial" w:eastAsia="Yu Gothic"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7nxothkygrz6m6is1epnr" Type="http://schemas.openxmlformats.org/officeDocument/2006/relationships/hyperlink" Target="https://ufocatch.com/large-shareholding/holder/E35393" TargetMode="External"/><Relationship Id="rIdbdlbmhi_sj2nyhrsh_ihv" Type="http://schemas.openxmlformats.org/officeDocument/2006/relationships/hyperlink" Target="https://www.kabutore.biz/rensyu/tairyohoyu.html?kensaku=%E6%97%A7%E6%9D%91%E4%B8%8A%E3%83%95%E3%82%A1%E3%83%B3%E3%83%89" TargetMode="External"/><Relationship Id="rIdzlisolhdskgd-pxa2e6vq" Type="http://schemas.openxmlformats.org/officeDocument/2006/relationships/hyperlink" Target="https://kabu.bridge-salon.jp/murakamifund-stocks-held/" TargetMode="External"/><Relationship Id="rIdr_eddmytqe5arppvpohyc" Type="http://schemas.openxmlformats.org/officeDocument/2006/relationships/hyperlink" Target="https://irbank.net/%E6%9D%BE%E4%BA%95%E4%BA%AE%E4%BB%8B" TargetMode="External"/><Relationship Id="rIdt-doc3nmbq4d9zykxjfbw" Type="http://schemas.openxmlformats.org/officeDocument/2006/relationships/hyperlink" Target="https://kabutan.jp/stock/holder?code=6190" TargetMode="External"/><Relationship Id="rIdp2fubcu_c1z-88egakro2" Type="http://schemas.openxmlformats.org/officeDocument/2006/relationships/hyperlink" Target="https://www.gnipharma.com/company/executive/" TargetMode="External"/><Relationship Id="rIdqqbs_zfnrl0tdqdx0hgbl" Type="http://schemas.openxmlformats.org/officeDocument/2006/relationships/hyperlink" Target="https://finance-frontend-pc-dist.west.edge.storage-yahoo.jp/disclosure/20260401/20260401596840.pdf" TargetMode="External"/><Relationship Id="rIdk5zby_bdwjohk-cvav8fu" Type="http://schemas.openxmlformats.org/officeDocument/2006/relationships/hyperlink" Target="https://www.release.tdnet.info/inbs/140120260813520097.pdf" TargetMode="External"/><Relationship Id="rIdatquap1ub2vg-ifmai_cb" Type="http://schemas.openxmlformats.org/officeDocument/2006/relationships/hyperlink" Target="https://ir.gyretx.com/news-releases/news-release-details/gyre-therapeutics-reports-second-quarter-2026-and-year-date" TargetMode="External"/><Relationship Id="rId4dog3exqjxaca4swzjb27" Type="http://schemas.openxmlformats.org/officeDocument/2006/relationships/hyperlink" Target="https://irbank.net/officer/%E8%93%AE%E8%A6%8B%E9%BA%BB%E8%A1%A3%E5%AD%90" TargetMode="External"/><Relationship Id="rIdn0gjbqwuprrohudfzadb0" Type="http://schemas.openxmlformats.org/officeDocument/2006/relationships/hyperlink" Target="https://ja.wikipedia.org/wiki/%E5%AE%87%E7%94%B0%E9%BA%BB%E8%A1%A3%E5%AD%90" TargetMode="External"/><Relationship Id="rIdw0v5gu1bp7if1lhdifa9r" Type="http://schemas.openxmlformats.org/officeDocument/2006/relationships/hyperlink" Target="https://kitaishihon.com/company/4056/board-of-director"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Japanese Stock Holdings Research</dc:title>
  <dc:creator>investing research</dc:creator>
  <cp:lastModifiedBy>Un-named</cp:lastModifiedBy>
  <cp:revision>1</cp:revision>
  <dcterms:created xsi:type="dcterms:W3CDTF">2026-09-29T21:19:00.414Z</dcterms:created>
  <dcterms:modified xsi:type="dcterms:W3CDTF">2026-09-29T21:19:00.415Z</dcterms:modified>
</cp:coreProperties>
</file>

<file path=docProps/custom.xml><?xml version="1.0" encoding="utf-8"?>
<Properties xmlns="http://schemas.openxmlformats.org/officeDocument/2006/custom-properties" xmlns:vt="http://schemas.openxmlformats.org/officeDocument/2006/docPropsVTypes"/>
</file>