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Yu Gothic" w:hAnsi="Arial"/>
          <w:b/>
          <w:bCs/>
          <w:color w:val="1F3864"/>
          <w:sz w:val="40"/>
          <w:szCs w:val="40"/>
        </w:rPr>
        <w:t xml:space="preserve">Murakami Watchlist: Damodaran-Style Valuations</w:t>
      </w:r>
    </w:p>
    <w:p>
      <w:pPr>
        <w:pBdr>
          <w:bottom w:val="single" w:color="1F3864" w:sz="8" w:space="4"/>
        </w:pBdr>
        <w:spacing w:after="200"/>
      </w:pPr>
      <w:r>
        <w:rPr>
          <w:rFonts w:ascii="Arial" w:cs="Arial" w:eastAsia="Yu Gothic" w:hAnsi="Arial"/>
          <w:color w:val="555555"/>
          <w:sz w:val="20"/>
          <w:szCs w:val="20"/>
        </w:rPr>
        <w:t xml:space="preserve">17 companies: 4 the Murakami investors are adding, 13 potential targets  ·  Data as of 2026-09-30</w:t>
      </w:r>
    </w:p>
    <w:p>
      <w:pPr>
        <w:pStyle w:val="Heading1"/>
        <w:spacing w:after="120" w:before="280"/>
      </w:pPr>
      <w:r>
        <w:rPr>
          <w:rFonts w:ascii="Arial" w:cs="Arial" w:eastAsia="Yu Gothic" w:hAnsi="Arial"/>
          <w:b/>
          <w:bCs/>
          <w:color w:val="1F3864"/>
          <w:sz w:val="30"/>
          <w:szCs w:val="30"/>
        </w:rPr>
        <w:t xml:space="preserve">Summary</w:t>
      </w:r>
    </w:p>
    <w:p>
      <w:pPr>
        <w:spacing w:after="120" w:before="0"/>
      </w:pPr>
      <w:r>
        <w:rPr>
          <w:rFonts w:ascii="Arial" w:cs="Arial" w:eastAsia="Yu Gothic" w:hAnsi="Arial"/>
          <w:sz w:val="20"/>
          <w:szCs w:val="20"/>
        </w:rPr>
        <w:t xml:space="preserve">Nine of the 17 look undervalued on a discounted-cash-flow basis. Four look roughly fairly priced. Four cannot be justified by their cash flows. Two of those four, Mitsubishi Paper and Yamada, are stocks the family is buying, where the case rests on assets or a deal rather than cash flows. Price-to-book is shown against the level peers with the same return on equity trade at, which is a weak test in Japan.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2"/>
        <w:gridCol w:w="1216"/>
        <w:gridCol w:w="748"/>
        <w:gridCol w:w="1029"/>
        <w:gridCol w:w="655"/>
        <w:gridCol w:w="1029"/>
        <w:gridCol w:w="2531"/>
      </w:tblGrid>
      <w:tr>
        <w:trPr>
          <w:tblHeader/>
        </w:trPr>
        <w:tc>
          <w:tcPr>
            <w:tcW w:type="dxa" w:w="2152"/>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Company (code)</w:t>
            </w:r>
          </w:p>
        </w:tc>
        <w:tc>
          <w:tcPr>
            <w:tcW w:type="dxa" w:w="1216"/>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Group</w:t>
            </w:r>
          </w:p>
        </w:tc>
        <w:tc>
          <w:tcPr>
            <w:tcW w:type="dxa" w:w="7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Price</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DCF value / share</w:t>
            </w:r>
          </w:p>
        </w:tc>
        <w:tc>
          <w:tcPr>
            <w:tcW w:type="dxa" w:w="655"/>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vs price</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P/B actual / peer</w:t>
            </w:r>
          </w:p>
        </w:tc>
        <w:tc>
          <w:tcPr>
            <w:tcW w:type="dxa" w:w="253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5"/>
                <w:szCs w:val="15"/>
              </w:rPr>
              <w:t xml:space="preserve">Read</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Mitsubishi Paper Mills (3864)</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Family adding</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¥1,217</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below zero</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0.53 / 0.47</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Overvalued on cash flows; asset or event play</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TOW (4767)</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Takateru adding</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¥393</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¥709</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+80%</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1.78 / 2.00</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Yamada Holdings (9831)</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Family adding</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¥717</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¥174</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-76%</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1.08 / 1.71</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Overvalued on cash flows; asset or event play</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Primo Global Holdings (367A)</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Takateru adding</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¥2,877</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¥2,237</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-22%</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1.25 / 1.77</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Roughly fair</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TPR (6463)</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family-size</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¥1,520</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¥2,138</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+41%</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0.48 / 1.28</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Topre (5975)</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family-size</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¥3,310</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¥3,891</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+18%</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0.71 / 0.92</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Roughly fair</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S Foods (2292)</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family-size</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¥2,680</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¥7,779</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+190%</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0.62 / 1.30</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Stanley Electric (6923)</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family-size</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¥3,450</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¥3,063</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-11%</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0.76 / 1.51</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Roughly fair</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Kyoei Steel (5440)</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family-size</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¥1,923</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¥3,494</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+82%</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0.39 / 0.73</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Hi-Lex (7279)</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family-size</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¥2,431</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¥1,070</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-56%</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0.39 / 0.66</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Overvalued on cash flows; asset or event play</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Futaba Corporation (6986)</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small</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¥732</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¥840</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+15%</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0.33 / 1.44</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Roughly fair</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Asahi Broadcasting Group (9405)</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small</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¥832</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¥1,726</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+107%</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0.42 / 2.14</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Musashi (7521)</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small</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¥2,647</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¥8,311</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+214%</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0.57 / 1.22</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Nakayama Steel Works (5408)</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small</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¥619</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¥1,882</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+204%</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0.35 / 0.68</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Cleanup (7955)</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small</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¥932</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¥1,347</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+45%</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0.56 / 1.14</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Fukuvi Chemical Industry (7871)</w:t>
            </w:r>
          </w:p>
        </w:tc>
        <w:tc>
          <w:tcPr>
            <w:tcW w:type="dxa" w:w="1216"/>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small</w:t>
            </w:r>
          </w:p>
        </w:tc>
        <w:tc>
          <w:tcPr>
            <w:tcW w:type="dxa" w:w="7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¥1,010</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¥1,757</w:t>
            </w:r>
          </w:p>
        </w:tc>
        <w:tc>
          <w:tcPr>
            <w:tcW w:type="dxa" w:w="655"/>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+74%</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0.51 / 1.15</w:t>
            </w:r>
          </w:p>
        </w:tc>
        <w:tc>
          <w:tcPr>
            <w:tcW w:type="dxa" w:w="253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Undervalued</w:t>
            </w:r>
          </w:p>
        </w:tc>
      </w:tr>
      <w:tr>
        <w:trPr>
          <w:cantSplit/>
        </w:trPr>
        <w:tc>
          <w:tcPr>
            <w:tcW w:type="dxa" w:w="215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Kitagawa (6317)</w:t>
            </w:r>
          </w:p>
        </w:tc>
        <w:tc>
          <w:tcPr>
            <w:tcW w:type="dxa" w:w="1216"/>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Target, small</w:t>
            </w:r>
          </w:p>
        </w:tc>
        <w:tc>
          <w:tcPr>
            <w:tcW w:type="dxa" w:w="7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¥2,552</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¥777</w:t>
            </w:r>
          </w:p>
        </w:tc>
        <w:tc>
          <w:tcPr>
            <w:tcW w:type="dxa" w:w="655"/>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-70%</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5"/>
                <w:szCs w:val="15"/>
              </w:rPr>
              <w:t xml:space="preserve">0.52 / 1.35</w:t>
            </w:r>
          </w:p>
        </w:tc>
        <w:tc>
          <w:tcPr>
            <w:tcW w:type="dxa" w:w="253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5"/>
                <w:szCs w:val="15"/>
              </w:rPr>
              <w:t xml:space="preserve">Overvalued on cash flows; asset or event play</w:t>
            </w:r>
          </w:p>
        </w:tc>
      </w:tr>
    </w:tbl>
    <w:p>
      <w:pPr>
        <w:pStyle w:val="Heading1"/>
        <w:spacing w:after="120" w:before="280"/>
      </w:pPr>
      <w:r>
        <w:rPr>
          <w:rFonts w:ascii="Arial" w:cs="Arial" w:eastAsia="Yu Gothic" w:hAnsi="Arial"/>
          <w:b/>
          <w:bCs/>
          <w:color w:val="1F3864"/>
          <w:sz w:val="30"/>
          <w:szCs w:val="30"/>
        </w:rPr>
        <w:t xml:space="preserve">Method</w:t>
      </w:r>
    </w:p>
    <w:p>
      <w:pPr>
        <w:spacing w:after="120" w:before="0"/>
      </w:pPr>
      <w:r>
        <w:rPr>
          <w:rFonts w:ascii="Arial" w:cs="Arial" w:eastAsia="Yu Gothic" w:hAnsi="Arial"/>
          <w:sz w:val="20"/>
          <w:szCs w:val="20"/>
        </w:rPr>
        <w:t xml:space="preserve">Each company follows Aswath Damodaran's (NYU Stern) sequence: the business story drives revenue growth, operating margin and reinvestment. Those give free cash flow to the firm, which is discounted at a cost of capital that reflects the risk. The same inputs are used for every company, so differences come from the businesses, not from the analyst.</w:t>
      </w:r>
    </w:p>
    <w:p>
      <w:pPr>
        <w:pStyle w:val="ListParagraph"/>
        <w:numPr>
          <w:ilvl w:val="0"/>
          <w:numId w:val="2"/>
        </w:numPr>
        <w:spacing w:after="60"/>
      </w:pPr>
      <w:r>
        <w:rPr>
          <w:rFonts w:ascii="Arial" w:cs="Arial" w:eastAsia="Yu Gothic" w:hAnsi="Arial"/>
          <w:b/>
          <w:bCs/>
          <w:sz w:val="20"/>
          <w:szCs w:val="20"/>
        </w:rPr>
        <w:t xml:space="preserve">Riskless rate 2.5%. </w:t>
      </w:r>
      <w:r>
        <w:rPr>
          <w:rFonts w:ascii="Arial" w:cs="Arial" w:eastAsia="Yu Gothic" w:hAnsi="Arial"/>
          <w:sz w:val="20"/>
          <w:szCs w:val="20"/>
        </w:rPr>
        <w:t xml:space="preserve">The 10-year JGB yields 3.10%. Damodaran removes the sovereign default spread when a government is not Aaa, and Japan is A1 with a 0.60% spread.</w:t>
      </w:r>
    </w:p>
    <w:p>
      <w:pPr>
        <w:pStyle w:val="ListParagraph"/>
        <w:numPr>
          <w:ilvl w:val="0"/>
          <w:numId w:val="2"/>
        </w:numPr>
        <w:spacing w:after="60"/>
      </w:pPr>
      <w:r>
        <w:rPr>
          <w:rFonts w:ascii="Arial" w:cs="Arial" w:eastAsia="Yu Gothic" w:hAnsi="Arial"/>
          <w:b/>
          <w:bCs/>
          <w:sz w:val="20"/>
          <w:szCs w:val="20"/>
        </w:rPr>
        <w:t xml:space="preserve">Equity risk premium 5.14%. </w:t>
      </w:r>
      <w:r>
        <w:rPr>
          <w:rFonts w:ascii="Arial" w:cs="Arial" w:eastAsia="Yu Gothic" w:hAnsi="Arial"/>
          <w:sz w:val="20"/>
          <w:szCs w:val="20"/>
        </w:rPr>
        <w:t xml:space="preserve">This is Damodaran's January 2026 figure for Japan: a 4.23% mature-market premium plus a 0.91% country premium.</w:t>
      </w:r>
    </w:p>
    <w:p>
      <w:pPr>
        <w:pStyle w:val="ListParagraph"/>
        <w:numPr>
          <w:ilvl w:val="0"/>
          <w:numId w:val="2"/>
        </w:numPr>
        <w:spacing w:after="60"/>
      </w:pPr>
      <w:r>
        <w:rPr>
          <w:rFonts w:ascii="Arial" w:cs="Arial" w:eastAsia="Yu Gothic" w:hAnsi="Arial"/>
          <w:b/>
          <w:bCs/>
          <w:sz w:val="20"/>
          <w:szCs w:val="20"/>
        </w:rPr>
        <w:t xml:space="preserve">Beta. </w:t>
      </w:r>
      <w:r>
        <w:rPr>
          <w:rFonts w:ascii="Arial" w:cs="Arial" w:eastAsia="Yu Gothic" w:hAnsi="Arial"/>
          <w:sz w:val="20"/>
          <w:szCs w:val="20"/>
        </w:rPr>
        <w:t xml:space="preserve">Damodaran's Japan industry unlevered beta, corrected for cash, re-levered at each company's market debt-to-equity. Tax rate 29.74%.</w:t>
      </w:r>
    </w:p>
    <w:p>
      <w:pPr>
        <w:pStyle w:val="ListParagraph"/>
        <w:numPr>
          <w:ilvl w:val="0"/>
          <w:numId w:val="2"/>
        </w:numPr>
        <w:spacing w:after="60"/>
      </w:pPr>
      <w:r>
        <w:rPr>
          <w:rFonts w:ascii="Arial" w:cs="Arial" w:eastAsia="Yu Gothic" w:hAnsi="Arial"/>
          <w:b/>
          <w:bCs/>
          <w:sz w:val="20"/>
          <w:szCs w:val="20"/>
        </w:rPr>
        <w:t xml:space="preserve">Cost of debt. </w:t>
      </w:r>
      <w:r>
        <w:rPr>
          <w:rFonts w:ascii="Arial" w:cs="Arial" w:eastAsia="Yu Gothic" w:hAnsi="Arial"/>
          <w:sz w:val="20"/>
          <w:szCs w:val="20"/>
        </w:rPr>
        <w:t xml:space="preserve">The riskless rate plus a spread from a synthetic rating based on interest coverage.</w:t>
      </w:r>
    </w:p>
    <w:p>
      <w:pPr>
        <w:pStyle w:val="ListParagraph"/>
        <w:numPr>
          <w:ilvl w:val="0"/>
          <w:numId w:val="2"/>
        </w:numPr>
        <w:spacing w:after="60"/>
      </w:pPr>
      <w:r>
        <w:rPr>
          <w:rFonts w:ascii="Arial" w:cs="Arial" w:eastAsia="Yu Gothic" w:hAnsi="Arial"/>
          <w:b/>
          <w:bCs/>
          <w:sz w:val="20"/>
          <w:szCs w:val="20"/>
        </w:rPr>
        <w:t xml:space="preserve">Growth. </w:t>
      </w:r>
      <w:r>
        <w:rPr>
          <w:rFonts w:ascii="Arial" w:cs="Arial" w:eastAsia="Yu Gothic" w:hAnsi="Arial"/>
          <w:sz w:val="20"/>
          <w:szCs w:val="20"/>
        </w:rPr>
        <w:t xml:space="preserve">Years 1–5 use the average of company guidance and the three-year sales growth rate, capped between −2% and 8%. Growth then fades to 2.5% by year 10.</w:t>
      </w:r>
    </w:p>
    <w:p>
      <w:pPr>
        <w:pStyle w:val="ListParagraph"/>
        <w:numPr>
          <w:ilvl w:val="0"/>
          <w:numId w:val="2"/>
        </w:numPr>
        <w:spacing w:after="60"/>
      </w:pPr>
      <w:r>
        <w:rPr>
          <w:rFonts w:ascii="Arial" w:cs="Arial" w:eastAsia="Yu Gothic" w:hAnsi="Arial"/>
          <w:b/>
          <w:bCs/>
          <w:sz w:val="20"/>
          <w:szCs w:val="20"/>
        </w:rPr>
        <w:t xml:space="preserve">Margins. </w:t>
      </w:r>
      <w:r>
        <w:rPr>
          <w:rFonts w:ascii="Arial" w:cs="Arial" w:eastAsia="Yu Gothic" w:hAnsi="Arial"/>
          <w:sz w:val="20"/>
          <w:szCs w:val="20"/>
        </w:rPr>
        <w:t xml:space="preserve">The operating margin moves from this year's guided level to its five-year average by year 5.</w:t>
      </w:r>
    </w:p>
    <w:p>
      <w:pPr>
        <w:pStyle w:val="ListParagraph"/>
        <w:numPr>
          <w:ilvl w:val="0"/>
          <w:numId w:val="2"/>
        </w:numPr>
        <w:spacing w:after="60"/>
      </w:pPr>
      <w:r>
        <w:rPr>
          <w:rFonts w:ascii="Arial" w:cs="Arial" w:eastAsia="Yu Gothic" w:hAnsi="Arial"/>
          <w:b/>
          <w:bCs/>
          <w:sz w:val="20"/>
          <w:szCs w:val="20"/>
        </w:rPr>
        <w:t xml:space="preserve">Reinvestment. </w:t>
      </w:r>
      <w:r>
        <w:rPr>
          <w:rFonts w:ascii="Arial" w:cs="Arial" w:eastAsia="Yu Gothic" w:hAnsi="Arial"/>
          <w:sz w:val="20"/>
          <w:szCs w:val="20"/>
        </w:rPr>
        <w:t xml:space="preserve">The change in revenue divided by the company's sales-to-capital ratio, clipped between 0.8 and 4.</w:t>
      </w:r>
    </w:p>
    <w:p>
      <w:pPr>
        <w:pStyle w:val="ListParagraph"/>
        <w:numPr>
          <w:ilvl w:val="0"/>
          <w:numId w:val="2"/>
        </w:numPr>
        <w:spacing w:after="60"/>
      </w:pPr>
      <w:r>
        <w:rPr>
          <w:rFonts w:ascii="Arial" w:cs="Arial" w:eastAsia="Yu Gothic" w:hAnsi="Arial"/>
          <w:b/>
          <w:bCs/>
          <w:sz w:val="20"/>
          <w:szCs w:val="20"/>
        </w:rPr>
        <w:t xml:space="preserve">Terminal value. </w:t>
      </w:r>
      <w:r>
        <w:rPr>
          <w:rFonts w:ascii="Arial" w:cs="Arial" w:eastAsia="Yu Gothic" w:hAnsi="Arial"/>
          <w:sz w:val="20"/>
          <w:szCs w:val="20"/>
        </w:rPr>
        <w:t xml:space="preserve">Return on capital equals the cost of capital, so growth after year 10 adds no value. This is Damodaran's default for firms without a lasting moat.</w:t>
      </w:r>
    </w:p>
    <w:p>
      <w:pPr>
        <w:pStyle w:val="ListParagraph"/>
        <w:numPr>
          <w:ilvl w:val="0"/>
          <w:numId w:val="2"/>
        </w:numPr>
        <w:spacing w:after="60"/>
      </w:pPr>
      <w:r>
        <w:rPr>
          <w:rFonts w:ascii="Arial" w:cs="Arial" w:eastAsia="Yu Gothic" w:hAnsi="Arial"/>
          <w:b/>
          <w:bCs/>
          <w:sz w:val="20"/>
          <w:szCs w:val="20"/>
        </w:rPr>
        <w:t xml:space="preserve">Equity value. </w:t>
      </w:r>
      <w:r>
        <w:rPr>
          <w:rFonts w:ascii="Arial" w:cs="Arial" w:eastAsia="Yu Gothic" w:hAnsi="Arial"/>
          <w:sz w:val="20"/>
          <w:szCs w:val="20"/>
        </w:rPr>
        <w:t xml:space="preserve">Operating value plus cash and investment securities at book, minus debt and minority interests. It is divided by shares outstanding excluding treasury stock.</w:t>
      </w:r>
    </w:p>
    <w:p>
      <w:pPr>
        <w:pStyle w:val="ListParagraph"/>
        <w:numPr>
          <w:ilvl w:val="0"/>
          <w:numId w:val="2"/>
        </w:numPr>
        <w:spacing w:after="60"/>
      </w:pPr>
      <w:r>
        <w:rPr>
          <w:rFonts w:ascii="Arial" w:cs="Arial" w:eastAsia="Yu Gothic" w:hAnsi="Arial"/>
          <w:b/>
          <w:bCs/>
          <w:sz w:val="20"/>
          <w:szCs w:val="20"/>
        </w:rPr>
        <w:t xml:space="preserve">Peer check. </w:t>
      </w:r>
      <w:r>
        <w:rPr>
          <w:rFonts w:ascii="Arial" w:cs="Arial" w:eastAsia="Yu Gothic" w:hAnsi="Arial"/>
          <w:sz w:val="20"/>
          <w:szCs w:val="20"/>
        </w:rPr>
        <w:t xml:space="preserve">Price-to-book regressed on return on equity across the company's Tokyo Stock Exchange sector. It gives the price-to-book peers with the same return on equity trade at, and R² shows how little that explains.</w:t>
      </w:r>
    </w:p>
    <w:p>
      <w:pPr>
        <w:spacing w:after="120" w:before="80"/>
      </w:pPr>
      <w:r>
        <w:rPr>
          <w:rFonts w:ascii="Arial" w:cs="Arial" w:eastAsia="Yu Gothic" w:hAnsi="Arial"/>
          <w:i/>
          <w:iCs/>
          <w:sz w:val="18"/>
          <w:szCs w:val="18"/>
        </w:rPr>
        <w:t xml:space="preserve">Limits: these are mechanical valuations for screening, not recommendations. They credit cash and securities at full book value, which Damodaran would discount when cash is trapped or poorly managed. Values for the deepest-value names are very sensitive to margins and the discount rate.</w:t>
      </w:r>
    </w:p>
    <w:p>
      <w:r>
        <w:br w:type="page"/>
      </w:r>
    </w:p>
    <w:p>
      <w:pPr>
        <w:pStyle w:val="Heading1"/>
        <w:spacing w:after="120" w:before="280"/>
      </w:pPr>
      <w:r>
        <w:rPr>
          <w:rFonts w:ascii="Arial" w:cs="Arial" w:eastAsia="Yu Gothic" w:hAnsi="Arial"/>
          <w:b/>
          <w:bCs/>
          <w:color w:val="1F3864"/>
          <w:sz w:val="30"/>
          <w:szCs w:val="30"/>
        </w:rPr>
        <w:t xml:space="preserve">Names the Murakami investors are adding</w:t>
      </w:r>
    </w:p>
    <w:p>
      <w:pPr>
        <w:pStyle w:val="Heading2"/>
        <w:keepNext/>
        <w:spacing w:after="80" w:before="240"/>
      </w:pPr>
      <w:r>
        <w:rPr>
          <w:rFonts w:ascii="Arial" w:cs="Arial" w:eastAsia="Yu Gothic" w:hAnsi="Arial"/>
          <w:b/>
          <w:bCs/>
          <w:color w:val="2E5597"/>
          <w:sz w:val="25"/>
          <w:szCs w:val="25"/>
        </w:rPr>
        <w:t xml:space="preserve">Mitsubishi Paper Mills (3864)</w:t>
      </w:r>
    </w:p>
    <w:p>
      <w:pPr>
        <w:spacing w:after="120" w:before="0"/>
      </w:pPr>
      <w:r>
        <w:rPr>
          <w:rFonts w:ascii="Arial" w:cs="Arial" w:eastAsia="Yu Gothic" w:hAnsi="Arial"/>
          <w:b/>
          <w:bCs/>
          <w:sz w:val="20"/>
          <w:szCs w:val="20"/>
        </w:rPr>
        <w:t xml:space="preserve">The cash flows do not support the price: the DCF value is below zero, against ¥1,217, so the case rests on assets or an event.</w:t>
      </w:r>
    </w:p>
    <w:p>
      <w:pPr>
        <w:spacing w:after="80"/>
      </w:pPr>
      <w:r>
        <w:drawing>
          <wp:inline distT="0" distB="0" distL="0" distR="0">
            <wp:extent cx="59436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Mitsubishi Paper makes printing, specialty and imaging papers. Oji Holdings, Japan's largest paper maker, has owned about a third of it since a 2018 capital alliance and holds 32.8% today. Margins have run close to zero: 0.2% last year and 1.2% on a five-year average. That is far below the 7.9% cost of capital, so the operating business is worth less than its net debt in a DCF.</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¥157.5B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0.2% → 1.2%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0.1% vs 7.9%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0.99 (Paper/Forest Products; unlevered 0.53)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7.6% / 7.9%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¥4.9B / ¥24.4B / ¥64.9B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below zero</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below zero</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94.0%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0.53 vs 0.47 (ROE 1.8%; Pulp &amp; paper sector regression, 23 companies, R² 0.16)</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¥1,217</w:t>
            </w:r>
          </w:p>
        </w:tc>
      </w:tr>
    </w:tbl>
    <w:p>
      <w:pPr>
        <w:spacing w:after="120" w:before="100"/>
      </w:pPr>
      <w:r>
        <w:rPr>
          <w:rFonts w:ascii="Arial" w:cs="Arial" w:eastAsia="Yu Gothic" w:hAnsi="Arial"/>
          <w:sz w:val="20"/>
          <w:szCs w:val="20"/>
        </w:rPr>
        <w:t xml:space="preserve">The DCF cannot justify the price. This is an event bet: on Oji buying the rest, on asset sales, or on a paper-industry merger the family is pushing for. Margins would need to recover to several times their recent level for cash flows alone to support the stock.</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王子ホールディングス</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32.84%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14,693,000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インタラクティブ･ブローカーズ</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5.25%</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2,351,000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那須功一</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1,320,000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MSIPクライアントセキュリティーズ</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1,063,000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自社取引先持株会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996,000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日本マスタートラスト信託銀行(役員報酬BIP信託口・76599口)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842,000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野村證券</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1.76%</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786,000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中原証券</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723,000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寺田英司</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709,000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野村證券</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673,000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0.18</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TOW (4767)</w:t>
      </w:r>
    </w:p>
    <w:p>
      <w:pPr>
        <w:spacing w:after="120" w:before="0"/>
      </w:pPr>
      <w:r>
        <w:rPr>
          <w:rFonts w:ascii="Arial" w:cs="Arial" w:eastAsia="Yu Gothic" w:hAnsi="Arial"/>
          <w:b/>
          <w:bCs/>
          <w:sz w:val="20"/>
          <w:szCs w:val="20"/>
        </w:rPr>
        <w:t xml:space="preserve">Undervalued on our numbers: the DCF value is ¥709 (¥656–¥775) a share, against a price of ¥393.</w:t>
      </w:r>
    </w:p>
    <w:p>
      <w:pPr>
        <w:spacing w:after="80"/>
      </w:pPr>
      <w:r>
        <w:drawing>
          <wp:inline distT="0" distB="0" distL="0" distR="0">
            <wp:extent cx="5943600" cy="2428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TOW plans and produces corporate events, exhibitions and promotions. It is asset-light, earns a 10.8% operating margin and a very high return on capital, and has no net debt. It holds 16% of its own shares in treasury. Takateru Murakami owns 2.7% personally and 7.5% with his companies, and his filings ask for buybacks and higher dividends.</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¥18.7B (fiscal year to 2026-06)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10.8% → 10.4%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8.0%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4.00</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89.3% vs 9.9%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1.51 (Advertising; unlevered 1.46)</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10.2% / 9.9%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¥8.7B / ¥1.2B / ¥0.7B (balance sheet 2026-06)</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¥709 (¥656–¥775)</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¥557</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50.6%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1.78 vs 2.00 (ROE 12.8%; Services sector regression, 473 companies, R² 0.11)</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¥393</w:t>
            </w:r>
          </w:p>
        </w:tc>
      </w:tr>
    </w:tbl>
    <w:p>
      <w:pPr>
        <w:spacing w:after="120" w:before="100"/>
      </w:pPr>
      <w:r>
        <w:rPr>
          <w:rFonts w:ascii="Arial" w:cs="Arial" w:eastAsia="Yu Gothic" w:hAnsi="Arial"/>
          <w:sz w:val="20"/>
          <w:szCs w:val="20"/>
        </w:rPr>
        <w:t xml:space="preserve">At ¥393 the market prices TOW as if event demand will shrink. Our DCF assumes growth at the company's guided pace, fading to 2.5%, and gives ¥709 (¥656–¥775). The risk is that events are cyclical and project-driven.</w:t>
      </w:r>
    </w:p>
    <w:p>
      <w:pPr>
        <w:keepNext/>
        <w:spacing w:after="60" w:before="140"/>
      </w:pPr>
      <w:r>
        <w:rPr>
          <w:rFonts w:ascii="Arial" w:cs="Arial" w:eastAsia="Yu Gothic" w:hAnsi="Arial"/>
          <w:b/>
          <w:bCs/>
          <w:color w:val="333333"/>
          <w:sz w:val="20"/>
          <w:szCs w:val="20"/>
        </w:rPr>
        <w:t xml:space="preserve">Top 10 shareholders plus treasury stock (June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15.72%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7,698,800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9.90%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4,848,000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真木勝次</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7.44%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3,642,000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MURAKAMI　TAKATERU</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2.74%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1,340,000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1,249,000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ライク</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1,040,000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MI2</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880,000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今津秀</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560,000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佐竹一郎</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537,000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村津憲一</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0.87%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426,000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舛森丈人</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0.82%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403,000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Yamada Holdings (9831)</w:t>
      </w:r>
    </w:p>
    <w:p>
      <w:pPr>
        <w:spacing w:after="120" w:before="0"/>
      </w:pPr>
      <w:r>
        <w:rPr>
          <w:rFonts w:ascii="Arial" w:cs="Arial" w:eastAsia="Yu Gothic" w:hAnsi="Arial"/>
          <w:b/>
          <w:bCs/>
          <w:sz w:val="20"/>
          <w:szCs w:val="20"/>
        </w:rPr>
        <w:t xml:space="preserve">The cash flows do not support the price: the DCF value is ¥174 (¥63–¥329) a share, against ¥717, so the case rests on assets or an event.</w:t>
      </w:r>
    </w:p>
    <w:p>
      <w:pPr>
        <w:spacing w:after="80"/>
      </w:pPr>
      <w:r>
        <w:drawing>
          <wp:inline distT="0" distB="0" distL="0" distR="0">
            <wp:extent cx="5943600" cy="2428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Yamada is Japan's largest consumer-electronics chain, with housing, recycling and consumer-finance units attached. Operating margin fell to 1.0% on ¥1.69 trillion of sales, and return on capital of 1.3% is far below its 6.6% cost of capital. In Damodaran's terms, every yen of growth destroys value.</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¥1,691.8B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 → 2.6%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3.5%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1.89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 vs 6.6%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1.29 (Retail (Special Lines); unlevered 0.89)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9.1% / 6.6%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¥38.2B / ¥19.3B / ¥309.6B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¥174 (¥63–¥329)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¥311</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92.0%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1.08 vs 1.71 (ROE 2.3%; Retail sector regression, 283 companies, R² 0.01)</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¥717</w:t>
            </w:r>
          </w:p>
        </w:tc>
      </w:tr>
    </w:tbl>
    <w:p>
      <w:pPr>
        <w:spacing w:after="120" w:before="100"/>
      </w:pPr>
      <w:r>
        <w:rPr>
          <w:rFonts w:ascii="Arial" w:cs="Arial" w:eastAsia="Yu Gothic" w:hAnsi="Arial"/>
          <w:sz w:val="20"/>
          <w:szCs w:val="20"/>
        </w:rPr>
        <w:t xml:space="preserve">The DCF gives ¥174 (¥63–¥329) against ¥717, and even a no-growth value at normal margins is only ¥311. The family's case is assets and restructuring, not cash flow. Its filing proposes selling non-core units, industry consolidation and a management buyout. The company already holds 31% of its own shares.</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31.28%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302,422,800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7.77%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75,111,200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テックプランニング</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6.76%</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65,327,300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3.40%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32,854,500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ソフトバンク</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24,200,000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山田昇</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20,472,900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公益財団法人山田昇記念財団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15,648,000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野村絢</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14,345,800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群馬銀行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12,000,000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ステート･ストリート･バンク＆トラスト505001</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1.16%</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11,253,000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自社従業員持株会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0.95%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9,229,300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Primo Global Holdings (367A)</w:t>
      </w:r>
    </w:p>
    <w:p>
      <w:pPr>
        <w:spacing w:after="120" w:before="0"/>
      </w:pPr>
      <w:r>
        <w:rPr>
          <w:rFonts w:ascii="Arial" w:cs="Arial" w:eastAsia="Yu Gothic" w:hAnsi="Arial"/>
          <w:b/>
          <w:bCs/>
          <w:sz w:val="20"/>
          <w:szCs w:val="20"/>
        </w:rPr>
        <w:t xml:space="preserve">Roughly fairly priced: the DCF value is ¥2,237 (¥1,559–¥3,178) a share, against a price of ¥2,877.</w:t>
      </w:r>
    </w:p>
    <w:p>
      <w:pPr>
        <w:spacing w:after="80"/>
      </w:pPr>
      <w:r>
        <w:drawing>
          <wp:inline distT="0" distB="0" distL="0" distR="0">
            <wp:extent cx="5943600" cy="2428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Primo Global sells bridal rings under the I-PRIMO brand in Japan and is expanding in Taiwan, Hong Kong, mainland China and Singapore. It earns an 11.2% operating margin. It relisted in 2025, and its private-equity owner Integral still holds 18.9%. Borrowings from the buyout are about ¥18 billion.</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¥28.0B (fiscal year to 2025-08)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11.2% → 11.2%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4.6%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0.80</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6.3% vs 6.6%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1.33 (Retail (Special Lines); unlevered 0.89)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9.4% / 6.6%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¥3.2B / ¥0.0B / ¥18.1B (balance sheet 2026-05)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¥2,237 (¥1,559–¥3,178)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¥2,099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76.7%</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1.25 vs 1.77 (ROE 8.8%; Retail sector regression, 283 companies, R² 0.01)</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¥2,877</w:t>
            </w:r>
          </w:p>
        </w:tc>
      </w:tr>
    </w:tbl>
    <w:p>
      <w:pPr>
        <w:spacing w:after="120" w:before="100"/>
      </w:pPr>
      <w:r>
        <w:rPr>
          <w:rFonts w:ascii="Arial" w:cs="Arial" w:eastAsia="Yu Gothic" w:hAnsi="Arial"/>
          <w:sz w:val="20"/>
          <w:szCs w:val="20"/>
        </w:rPr>
        <w:t xml:space="preserve">The DCF gives ¥2,237 (¥1,559–¥3,178) against ¥2,877, so the price already assumes faster growth than the 4.6% we use. Takateru's filings raise buybacks and a take-private, and a private-equity owner looking to exit makes a sale plausible. That event, not the DCF, is the investment case.</w:t>
      </w:r>
    </w:p>
    <w:p>
      <w:pPr>
        <w:keepNext/>
        <w:spacing w:after="60" w:before="140"/>
      </w:pPr>
      <w:r>
        <w:rPr>
          <w:rFonts w:ascii="Arial" w:cs="Arial" w:eastAsia="Yu Gothic" w:hAnsi="Arial"/>
          <w:b/>
          <w:bCs/>
          <w:color w:val="333333"/>
          <w:sz w:val="20"/>
          <w:szCs w:val="20"/>
        </w:rPr>
        <w:t xml:space="preserve">Top 10 shareholders plus treasury stock (February 2026 half-year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インテグラル3号投資事業有限責任組合</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18.89%</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1,652,000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BNY･GCMクライアントJPRD･ISG･FEAC</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3.77%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330,000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ヨシダ　トモヒロ</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262,000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イノベーション･アルファ(ケイマン)</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262,000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インテグラル</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261,000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BNYメロンGCMクライアントM･ILMFE</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194,000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岡三証券</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1.83%</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ノムラ･インターナショナル･アカント･ジャパンフロウ</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UBS(ロンドン)IPBセグリゲイテッド･クライアント</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r>
        <w:br w:type="page"/>
      </w:r>
    </w:p>
    <w:p>
      <w:pPr>
        <w:pStyle w:val="Heading1"/>
        <w:spacing w:after="120" w:before="280"/>
      </w:pPr>
      <w:r>
        <w:rPr>
          <w:rFonts w:ascii="Arial" w:cs="Arial" w:eastAsia="Yu Gothic" w:hAnsi="Arial"/>
          <w:b/>
          <w:bCs/>
          <w:color w:val="1F3864"/>
          <w:sz w:val="30"/>
          <w:szCs w:val="30"/>
        </w:rPr>
        <w:t xml:space="preserve">Potential targets: family-size (¥80–800 billion)</w:t>
      </w:r>
    </w:p>
    <w:p>
      <w:pPr>
        <w:pStyle w:val="Heading2"/>
        <w:keepNext/>
        <w:spacing w:after="80" w:before="240"/>
      </w:pPr>
      <w:r>
        <w:rPr>
          <w:rFonts w:ascii="Arial" w:cs="Arial" w:eastAsia="Yu Gothic" w:hAnsi="Arial"/>
          <w:b/>
          <w:bCs/>
          <w:color w:val="2E5597"/>
          <w:sz w:val="25"/>
          <w:szCs w:val="25"/>
        </w:rPr>
        <w:t xml:space="preserve">TPR (6463)</w:t>
      </w:r>
    </w:p>
    <w:p>
      <w:pPr>
        <w:spacing w:after="120" w:before="0"/>
      </w:pPr>
      <w:r>
        <w:rPr>
          <w:rFonts w:ascii="Arial" w:cs="Arial" w:eastAsia="Yu Gothic" w:hAnsi="Arial"/>
          <w:b/>
          <w:bCs/>
          <w:sz w:val="20"/>
          <w:szCs w:val="20"/>
        </w:rPr>
        <w:t xml:space="preserve">Undervalued on our numbers: the DCF value is ¥2,138 (¥1,993–¥2,322) a share, against a price of ¥1,520.</w:t>
      </w:r>
    </w:p>
    <w:p>
      <w:pPr>
        <w:spacing w:after="80"/>
      </w:pPr>
      <w:r>
        <w:drawing>
          <wp:inline distT="0" distB="0" distL="0" distR="0">
            <wp:extent cx="5943600" cy="2428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TPR makes piston rings, cylinder liners and other engine parts, plus resin exterior parts and industrial products. Cash of ¥61.6B and investment securities of ¥63.9B together exceed its market value, and it trades at 0.48 times book. The register is institutional, led by trust banks, Meiji Yasuda, Sompo and Mizuho, with no controlling holder.</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¥190.6B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5.4% → 5.6%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2.0%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6.1% vs 9.1%</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1.70 (Auto Parts; unlevered 1.39)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11.2% / 9.1%</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¥61.6B / ¥63.9B / ¥30.2B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¥2,138 (¥1,993–¥2,322)</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¥2,179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54.8%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0.48 vs 1.28 (ROE 4.5%; Machinery sector regression, 196 companies, R² 0.06)</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¥1,520</w:t>
            </w:r>
          </w:p>
        </w:tc>
      </w:tr>
    </w:tbl>
    <w:p>
      <w:pPr>
        <w:spacing w:after="120" w:before="100"/>
      </w:pPr>
      <w:r>
        <w:rPr>
          <w:rFonts w:ascii="Arial" w:cs="Arial" w:eastAsia="Yu Gothic" w:hAnsi="Arial"/>
          <w:sz w:val="20"/>
          <w:szCs w:val="20"/>
        </w:rPr>
        <w:t xml:space="preserve">Even with only 2.0% growth, the DCF gives ¥2,138 (¥1,993–¥2,322) against ¥1,520, because the cash and securities alone cover most of the price. The long-run risk is the shift to electric vehicles, which erodes demand for piston rings. It is the cleanest Murakami-style target on this list.</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8.84%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5,884,000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明治安田生命保険</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7.20%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4,790,000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損害保険ジャパン</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6.89%</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4,586,000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みずほ銀行</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4.56%</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3,037,000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ヒューリック</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3.70%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2,463,000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東京建物</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2.81%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1,867,000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自社取引先持株会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1,765,000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みずほ信託銀行</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1,532,000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1,529,500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日本カストディ銀行(日野自動車退職給付信託口)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1,489,000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2.11%</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1,404,000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bl>
    <w:p>
      <w:pPr>
        <w:pStyle w:val="Heading2"/>
        <w:keepNext/>
        <w:spacing w:after="80" w:before="240"/>
      </w:pPr>
      <w:r>
        <w:rPr>
          <w:rFonts w:ascii="Arial" w:cs="Arial" w:eastAsia="Yu Gothic" w:hAnsi="Arial"/>
          <w:b/>
          <w:bCs/>
          <w:color w:val="2E5597"/>
          <w:sz w:val="25"/>
          <w:szCs w:val="25"/>
        </w:rPr>
        <w:t xml:space="preserve">Topre (5975)</w:t>
      </w:r>
    </w:p>
    <w:p>
      <w:pPr>
        <w:spacing w:after="120" w:before="0"/>
      </w:pPr>
      <w:r>
        <w:rPr>
          <w:rFonts w:ascii="Arial" w:cs="Arial" w:eastAsia="Yu Gothic" w:hAnsi="Arial"/>
          <w:b/>
          <w:bCs/>
          <w:sz w:val="20"/>
          <w:szCs w:val="20"/>
        </w:rPr>
        <w:t xml:space="preserve">Roughly fairly priced: the DCF value is ¥3,891 (¥3,444–¥4,465) a share, against a price of ¥3,310.</w:t>
      </w:r>
    </w:p>
    <w:p>
      <w:pPr>
        <w:spacing w:after="80"/>
      </w:pPr>
      <w:r>
        <w:drawing>
          <wp:inline distT="0" distB="0" distL="0" distR="0">
            <wp:extent cx="5943600" cy="2428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Topre makes car-body stampings, truck refrigeration units, air-conditioning equipment and Realforce keyboards. Its margin rose to 7.4% last year against a 5.3% five-year average. Trust banks are its largest holders, and 8% is treasury stock.</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¥378.8B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7.4% → 5.3%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6.4%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1.87</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9.7% vs 9.1%</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1.68 (Auto Parts; unlevered 1.39)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11.1% / 9.1%</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¥68.8B / ¥22.7B / ¥46.4B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¥3,891 (¥3,444–¥4,465)</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¥4,065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75.1%</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0.71 vs 0.92 (ROE 7.4%; Metal products sector regression, 81 companies, R² 0.14)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¥3,310</w:t>
            </w:r>
          </w:p>
        </w:tc>
      </w:tr>
    </w:tbl>
    <w:p>
      <w:pPr>
        <w:spacing w:after="120" w:before="100"/>
      </w:pPr>
      <w:r>
        <w:rPr>
          <w:rFonts w:ascii="Arial" w:cs="Arial" w:eastAsia="Yu Gothic" w:hAnsi="Arial"/>
          <w:sz w:val="20"/>
          <w:szCs w:val="20"/>
        </w:rPr>
        <w:t xml:space="preserve">After a 42% rise over twelve months, most of the discount has closed. Our DCF fades margins back to average and gives ¥3,891 (¥3,444–¥4,465) against ¥3,310. It is fairly priced unless the higher margin proves durable.</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11.57%</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6,253,000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9.03%</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4,876,000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8.20%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4,430,200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石井直子</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4.92%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2,660,000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日本生命保険</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3.95%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2,135,000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りそな銀行</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3.46%</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1,870,000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自社取引先持株会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1,622,000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住友生命保険</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2.65%</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1,429,000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みずほ銀行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1,265,000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ステート･ストリート･バンク＆トラスト505223</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1,229,000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ステート･ストリート･バンク＆トラスト505001</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2.11%</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1,138,000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S Foods (2292)</w:t>
      </w:r>
    </w:p>
    <w:p>
      <w:pPr>
        <w:spacing w:after="120" w:before="0"/>
      </w:pPr>
      <w:r>
        <w:rPr>
          <w:rFonts w:ascii="Arial" w:cs="Arial" w:eastAsia="Yu Gothic" w:hAnsi="Arial"/>
          <w:b/>
          <w:bCs/>
          <w:sz w:val="20"/>
          <w:szCs w:val="20"/>
        </w:rPr>
        <w:t xml:space="preserve">Undervalued on our numbers: the DCF value is ¥7,779 (¥5,894–¥10,784) a share, against a price of ¥2,680.</w:t>
      </w:r>
    </w:p>
    <w:p>
      <w:pPr>
        <w:spacing w:after="80"/>
      </w:pPr>
      <w:r>
        <w:drawing>
          <wp:inline distT="0" distB="0" distL="0" distR="0">
            <wp:extent cx="5943600" cy="24288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S Foods processes and wholesales meat, including the Kotechan brand, on ¥472 billion of sales with thin 2–3% margins. Damodaran's food-processing beta is very low, which gives a 4.6% cost of capital and a high DCF of ¥7,779 (¥5,894–¥10,784) against ¥2,680.</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¥472.3B (fiscal year to 2026-02)</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2.2% → 3.0%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5.8%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3.35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5.2% vs 4.6%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0.70 (Food Processing; unlevered 0.48)</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6.1% / 4.6%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¥37.8B / ¥19.4B / ¥57.3B (balance sheet 2026-02)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¥7,779 (¥5,894–¥10,784)</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¥6,547</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88.9%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0.62 vs 1.30 (ROE 6.6%; Foods sector regression, 118 companies, R² 0.07)</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¥2,680</w:t>
            </w:r>
          </w:p>
        </w:tc>
      </w:tr>
    </w:tbl>
    <w:p>
      <w:pPr>
        <w:spacing w:after="120" w:before="100"/>
      </w:pPr>
      <w:r>
        <w:rPr>
          <w:rFonts w:ascii="Arial" w:cs="Arial" w:eastAsia="Yu Gothic" w:hAnsi="Arial"/>
          <w:sz w:val="20"/>
          <w:szCs w:val="20"/>
        </w:rPr>
        <w:t xml:space="preserve">It looks cheap at any reasonable discount rate, but 89% of the value sits in the terminal year, so the figure is fragile. Feasibility is the bigger problem. The founder, 村上真之助, holds 24.8% and Marubeni 15%, which leaves an outside activist little leverage.</w:t>
      </w:r>
    </w:p>
    <w:p>
      <w:pPr>
        <w:keepNext/>
        <w:spacing w:after="60" w:before="140"/>
      </w:pPr>
      <w:r>
        <w:rPr>
          <w:rFonts w:ascii="Arial" w:cs="Arial" w:eastAsia="Yu Gothic" w:hAnsi="Arial"/>
          <w:b/>
          <w:bCs/>
          <w:color w:val="333333"/>
          <w:sz w:val="20"/>
          <w:szCs w:val="20"/>
        </w:rPr>
        <w:t xml:space="preserve">Top 10 shareholders plus treasury stock (February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村上真之助</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24.80%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8,001,000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丸紅</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15.00%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4,841,000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7.13%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2,301,000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4.34%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1,400,000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(有)ファイブエム</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3.26%</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1,052,000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チェース･マンハッタン･バンク(ロンドン)SLオムニバスアカウント</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2.71%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873,000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BBHフィデリティ･ロープライスドストックファンド</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685,000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野村信託銀行(投信口)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1.95%</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629,000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SMBC信託銀行(三井住友銀行退職給付信託口)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1.89%</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610,000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594,300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JPモルガン･チェース･バンク385781</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0.73%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236,000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Stanley Electric (6923)</w:t>
      </w:r>
    </w:p>
    <w:p>
      <w:pPr>
        <w:spacing w:after="120" w:before="0"/>
      </w:pPr>
      <w:r>
        <w:rPr>
          <w:rFonts w:ascii="Arial" w:cs="Arial" w:eastAsia="Yu Gothic" w:hAnsi="Arial"/>
          <w:b/>
          <w:bCs/>
          <w:sz w:val="20"/>
          <w:szCs w:val="20"/>
        </w:rPr>
        <w:t xml:space="preserve">Roughly fairly priced: the DCF value is ¥3,063 (¥2,660–¥3,582) a share, against a price of ¥3,450.</w:t>
      </w:r>
    </w:p>
    <w:p>
      <w:pPr>
        <w:spacing w:after="80"/>
      </w:pPr>
      <w:r>
        <w:drawing>
          <wp:inline distT="0" distB="0" distL="0" distR="0">
            <wp:extent cx="5943600" cy="2428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Stanley Electric makes car lamps, mainly LED headlamps, and sells heavily to Honda, which owns 13.3%. It holds ¥227.0B of cash and ¥71.7B of investments. The Murakami family held 6% in 2025 before cutting to just under 5%.</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¥518.5B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8.2% → 8.2%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8.0%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7.6% vs 9.1%</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1.67 (Auto Parts; unlevered 1.39)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11.1% / 9.1%</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¥227.0B / ¥71.7B / ¥120.9B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¥3,063 (¥2,660–¥3,582)</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¥3,142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81.4%</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0.76 vs 1.51 (ROE 5.7%; Electrical equipment sector regression, 195 companies, R² 0.05)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¥3,450</w:t>
            </w:r>
          </w:p>
        </w:tc>
      </w:tr>
    </w:tbl>
    <w:p>
      <w:pPr>
        <w:spacing w:after="120" w:before="100"/>
      </w:pPr>
      <w:r>
        <w:rPr>
          <w:rFonts w:ascii="Arial" w:cs="Arial" w:eastAsia="Yu Gothic" w:hAnsi="Arial"/>
          <w:sz w:val="20"/>
          <w:szCs w:val="20"/>
        </w:rPr>
        <w:t xml:space="preserve">Even assuming 8% growth, the DCF gives ¥3,063 (¥2,660–¥3,582) against ¥3,450, which is roughly fair to slightly expensive. If the family returns, the ask would be buybacks funded from the cash pile rather than a deep-value rerating.</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本田技研工業</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13.28%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16,735,000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11.77%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14,831,000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5.92%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7,460,000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日本生命保険</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5.47%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6,886,000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ステート･ストリート･バンク＆トラスト505001</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3.13%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3,939,000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シティインデックスイレブンス</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3,808,000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3,089,600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JPモルガン証券</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2,987,000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全国共済農業協同組合連合会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2,834,000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ステート･ストリート･バンク＆トラスト505103</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2,827,000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BNYメロンSANV(Lux.)UCITSノントリーティ1</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2,770,000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bl>
    <w:p>
      <w:pPr>
        <w:pStyle w:val="Heading2"/>
        <w:keepNext/>
        <w:spacing w:after="80" w:before="240"/>
      </w:pPr>
      <w:r>
        <w:rPr>
          <w:rFonts w:ascii="Arial" w:cs="Arial" w:eastAsia="Yu Gothic" w:hAnsi="Arial"/>
          <w:b/>
          <w:bCs/>
          <w:color w:val="2E5597"/>
          <w:sz w:val="25"/>
          <w:szCs w:val="25"/>
        </w:rPr>
        <w:t xml:space="preserve">Kyoei Steel (5440)</w:t>
      </w:r>
    </w:p>
    <w:p>
      <w:pPr>
        <w:spacing w:after="120" w:before="0"/>
      </w:pPr>
      <w:r>
        <w:rPr>
          <w:rFonts w:ascii="Arial" w:cs="Arial" w:eastAsia="Yu Gothic" w:hAnsi="Arial"/>
          <w:b/>
          <w:bCs/>
          <w:sz w:val="20"/>
          <w:szCs w:val="20"/>
        </w:rPr>
        <w:t xml:space="preserve">Undervalued on our numbers: the DCF value is ¥3,494 (¥2,647–¥4,726) a share, against a price of ¥1,923.</w:t>
      </w:r>
    </w:p>
    <w:p>
      <w:pPr>
        <w:spacing w:after="80"/>
      </w:pPr>
      <w:r>
        <w:drawing>
          <wp:inline distT="0" distB="0" distL="0" distR="0">
            <wp:extent cx="5943600" cy="2428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Kyoei Steel makes rebar and merchant bars in electric furnaces in Japan, Vietnam and North America, and runs a waste-recycling business. It trades at 0.39 times book. Nippon Steel owns 25.8% and the founding Takashima family about 15%. Air Water owns 6%, and the family is pushing Air Water to sell non-core assets.</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¥315.1B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5.4% → 4.8%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5.5%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5.3% vs 5.9%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1.41 (Steel; unlevered 0.79)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9.8% / 5.9%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¥68.9B / ¥18.6B / ¥94.6B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¥3,494 (¥2,647–¥4,726)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¥3,805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97.8%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0.39 vs 0.73 (ROE 4.5%; Iron &amp; steel sector regression, 36 companies, R² 0.12)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¥1,923</w:t>
            </w:r>
          </w:p>
        </w:tc>
      </w:tr>
    </w:tbl>
    <w:p>
      <w:pPr>
        <w:spacing w:after="120" w:before="100"/>
      </w:pPr>
      <w:r>
        <w:rPr>
          <w:rFonts w:ascii="Arial" w:cs="Arial" w:eastAsia="Yu Gothic" w:hAnsi="Arial"/>
          <w:sz w:val="20"/>
          <w:szCs w:val="20"/>
        </w:rPr>
        <w:t xml:space="preserve">The DCF gives ¥3,494 (¥2,647–¥4,726) against ¥1,923, but it is fragile. Heavy debt pulls the cost of capital down to 5.9%, and 98% of the value sits in the terminal year. The Air Water stake could change hands in a block sale.</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日本製鉄</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25.82%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11,592,932</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高島秀一郎</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9.68%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4,347,460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5.95%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2,671,400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高島成光</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4.97%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2,233,000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三井物産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3.27%</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1,470,000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1,439,800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合同製鐵</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1,347,000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日本カストディ銀行(エア・ウォーター退職給付信託口)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1,308,900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日本カストディ銀行(エア・ウォーター防災退職給付信託口)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692,000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エア・ウォーター</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691,500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689,000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bl>
    <w:p>
      <w:pPr>
        <w:pStyle w:val="Heading2"/>
        <w:keepNext/>
        <w:spacing w:after="80" w:before="240"/>
      </w:pPr>
      <w:r>
        <w:rPr>
          <w:rFonts w:ascii="Arial" w:cs="Arial" w:eastAsia="Yu Gothic" w:hAnsi="Arial"/>
          <w:b/>
          <w:bCs/>
          <w:color w:val="2E5597"/>
          <w:sz w:val="25"/>
          <w:szCs w:val="25"/>
        </w:rPr>
        <w:t xml:space="preserve">Hi-Lex (7279)</w:t>
      </w:r>
    </w:p>
    <w:p>
      <w:pPr>
        <w:spacing w:after="120" w:before="0"/>
      </w:pPr>
      <w:r>
        <w:rPr>
          <w:rFonts w:ascii="Arial" w:cs="Arial" w:eastAsia="Yu Gothic" w:hAnsi="Arial"/>
          <w:b/>
          <w:bCs/>
          <w:sz w:val="20"/>
          <w:szCs w:val="20"/>
        </w:rPr>
        <w:t xml:space="preserve">The cash flows do not support the price: the DCF value is ¥1,070 (¥1,030–¥1,110) a share, against ¥2,431, so the case rests on assets or an event.</w:t>
      </w:r>
    </w:p>
    <w:p>
      <w:pPr>
        <w:spacing w:after="80"/>
      </w:pPr>
      <w:r>
        <w:drawing>
          <wp:inline distT="0" distB="0" distL="0" distR="0">
            <wp:extent cx="5943600" cy="2428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Hi-Lex makes control cables, window regulators and door systems for cars, plus some medical devices. Margins have collapsed to about 1.1%, and the five-year average is near zero, so our DCF values the operations below zero. Founder company Teraura Kosan owns 27.7% and a related foundation another 4.1%.</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¥304.1B (fiscal year to 2025-10)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 → 0.1%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8.0%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3.22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2.5% vs 9.4%</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1.51 (Auto Parts; unlevered 1.39)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10.3% / 9.4%</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¥62.8B / ¥45.1B / ¥10.6B (balance sheet 2025-10)</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¥1,070 (¥1,030–¥1,110)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¥2,273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n/m</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0.39 vs 0.66 (ROE 3.6%; Transport equipment sector regression, 76 companies, R² 0.34)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¥2,431</w:t>
            </w:r>
          </w:p>
        </w:tc>
      </w:tr>
    </w:tbl>
    <w:p>
      <w:pPr>
        <w:spacing w:after="120" w:before="100"/>
      </w:pPr>
      <w:r>
        <w:rPr>
          <w:rFonts w:ascii="Arial" w:cs="Arial" w:eastAsia="Yu Gothic" w:hAnsi="Arial"/>
          <w:sz w:val="20"/>
          <w:szCs w:val="20"/>
        </w:rPr>
        <w:t xml:space="preserve">The ¥1,070 per-share value is essentially cash and investments less debt, against a ¥2,431 price. The market is paying for a margin recovery that has not yet shown up. The founder's stake means an outsider cannot force change.</w:t>
      </w:r>
    </w:p>
    <w:p>
      <w:pPr>
        <w:keepNext/>
        <w:spacing w:after="60" w:before="140"/>
      </w:pPr>
      <w:r>
        <w:rPr>
          <w:rFonts w:ascii="Arial" w:cs="Arial" w:eastAsia="Yu Gothic" w:hAnsi="Arial"/>
          <w:b/>
          <w:bCs/>
          <w:color w:val="333333"/>
          <w:sz w:val="20"/>
          <w:szCs w:val="20"/>
        </w:rPr>
        <w:t xml:space="preserve">Top 10 shareholders plus treasury stock (April 2026 half-year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寺浦興産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27.73%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10,598,000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CEPLUXインディペンデントUCITS･PF2</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4.52%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1,726,000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公益財団法人寺浦奨学会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4.07%</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1,554,000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3.30%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1,260,000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日本生命保険</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3.29%</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1,259,000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1,225,500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西川ゴム工業</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2.71%</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1,034,000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BNYメロンSANV･WSゼナー･ジャパンEIファンド</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955,000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ノーザン･トラスト(AVFC)UKUC･UCITS･NL10PCT</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816,000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アルファ</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2.11%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806,000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三菱UFJ銀行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1.93%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739,000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r>
        <w:br w:type="page"/>
      </w:r>
    </w:p>
    <w:p>
      <w:pPr>
        <w:pStyle w:val="Heading1"/>
        <w:spacing w:after="120" w:before="280"/>
      </w:pPr>
      <w:r>
        <w:rPr>
          <w:rFonts w:ascii="Arial" w:cs="Arial" w:eastAsia="Yu Gothic" w:hAnsi="Arial"/>
          <w:b/>
          <w:bCs/>
          <w:color w:val="1F3864"/>
          <w:sz w:val="30"/>
          <w:szCs w:val="30"/>
        </w:rPr>
        <w:t xml:space="preserve">Potential targets: Takateru-size (¥20–80 billion)</w:t>
      </w:r>
    </w:p>
    <w:p>
      <w:pPr>
        <w:pStyle w:val="Heading2"/>
        <w:keepNext/>
        <w:spacing w:after="80" w:before="240"/>
      </w:pPr>
      <w:r>
        <w:rPr>
          <w:rFonts w:ascii="Arial" w:cs="Arial" w:eastAsia="Yu Gothic" w:hAnsi="Arial"/>
          <w:b/>
          <w:bCs/>
          <w:color w:val="2E5597"/>
          <w:sz w:val="25"/>
          <w:szCs w:val="25"/>
        </w:rPr>
        <w:t xml:space="preserve">Futaba Corporation (6986)</w:t>
      </w:r>
    </w:p>
    <w:p>
      <w:pPr>
        <w:spacing w:after="120" w:before="0"/>
      </w:pPr>
      <w:r>
        <w:rPr>
          <w:rFonts w:ascii="Arial" w:cs="Arial" w:eastAsia="Yu Gothic" w:hAnsi="Arial"/>
          <w:b/>
          <w:bCs/>
          <w:sz w:val="20"/>
          <w:szCs w:val="20"/>
        </w:rPr>
        <w:t xml:space="preserve">Roughly fairly priced: the DCF value is ¥840 (¥819–¥857) a share, against a price of ¥732.</w:t>
      </w:r>
    </w:p>
    <w:p>
      <w:pPr>
        <w:spacing w:after="80"/>
      </w:pPr>
      <w:r>
        <w:drawing>
          <wp:inline distT="0" distB="0" distL="0" distR="0">
            <wp:extent cx="5943600" cy="24288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Futaba makes display modules, touch panels, radio-control systems and mold-base components. It is losing money, with a -5.3% margin, yet its cash of ¥36.4B and investments of ¥17.3B exceed its market value. Brandes, a US value investor, holds about 10%.</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¥43.0B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-5.3% → -3.5%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-2.0%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-3.8% vs 10.9%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1.65 (Electronics (General); unlevered 1.63)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11.0% / 10.9%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¥36.4B / ¥17.3B / ¥0.5B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¥840 (¥819–¥857)</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¥758</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53.0%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0.33 vs 1.44 (ROE 2.7%; Electrical equipment sector regression, 195 companies, R² 0.05)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¥732</w:t>
            </w:r>
          </w:p>
        </w:tc>
      </w:tr>
    </w:tbl>
    <w:p>
      <w:pPr>
        <w:spacing w:after="120" w:before="100"/>
      </w:pPr>
      <w:r>
        <w:rPr>
          <w:rFonts w:ascii="Arial" w:cs="Arial" w:eastAsia="Yu Gothic" w:hAnsi="Arial"/>
          <w:sz w:val="20"/>
          <w:szCs w:val="20"/>
        </w:rPr>
        <w:t xml:space="preserve">Even assuming losses continue at the five-year average, the DCF gives ¥840 (¥819–¥857) against ¥732. The stock trades below its cash net of expected losses. The obvious activist ask is to stop the losses and return the cash.</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10.18%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4,321,000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公益財団法人双葉電子記念財団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7.67%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3,255,000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吉田嘉明</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4.71%</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2,000,000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川崎まり</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4.40%</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1,866,000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千葉銀行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4.38%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1,857,000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ノーザン･トラスト(AVFC)USLノントリーティ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4.12%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1,746,000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LIMジャパン･イベント･マスター･ファンド</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1,273,000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細矢晴江</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2.62%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1,113,000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桜田恵美子</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1,069,000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ノーザントラスト(AVFC)リUS･10PCT･CL</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1,006,000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0.03</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Asahi Broadcasting Group (9405)</w:t>
      </w:r>
    </w:p>
    <w:p>
      <w:pPr>
        <w:spacing w:after="120" w:before="0"/>
      </w:pPr>
      <w:r>
        <w:rPr>
          <w:rFonts w:ascii="Arial" w:cs="Arial" w:eastAsia="Yu Gothic" w:hAnsi="Arial"/>
          <w:b/>
          <w:bCs/>
          <w:sz w:val="20"/>
          <w:szCs w:val="20"/>
        </w:rPr>
        <w:t xml:space="preserve">Undervalued on our numbers: the DCF value is ¥1,726 (¥1,621–¥1,869) a share, against a price of ¥832.</w:t>
      </w:r>
    </w:p>
    <w:p>
      <w:pPr>
        <w:spacing w:after="80"/>
      </w:pPr>
      <w:r>
        <w:drawing>
          <wp:inline distT="0" distB="0" distL="0" distR="0">
            <wp:extent cx="5943600" cy="24288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Asahi Broadcasting runs ABC TV, the Osaka station in the TV Asahi network, along with radio, events and content businesses. Its cash of ¥35.2B and securities of ¥18.1B cover most of its market value. At 0.42 times book, it looks like Fuji Media before the family's campaign.</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¥96.0B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5.0% → 3.3%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-0.3%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2.14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7.5% vs 6.8%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1.18 (Broadcasting; unlevered 0.92)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8.6% / 6.8%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¥35.2B / ¥18.1B / ¥13.8B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¥1,726 (¥1,621–¥1,869)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¥1,689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53.7%</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0.42 vs 2.14 (ROE 5.4%; Information &amp; communication sector regression, 494 companies, R² 0.04)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¥832</w:t>
            </w:r>
          </w:p>
        </w:tc>
      </w:tr>
    </w:tbl>
    <w:p>
      <w:pPr>
        <w:spacing w:after="120" w:before="100"/>
      </w:pPr>
      <w:r>
        <w:rPr>
          <w:rFonts w:ascii="Arial" w:cs="Arial" w:eastAsia="Yu Gothic" w:hAnsi="Arial"/>
          <w:sz w:val="20"/>
          <w:szCs w:val="20"/>
        </w:rPr>
        <w:t xml:space="preserve">The DCF gives ¥1,726 (¥1,621–¥1,869) against ¥832. The catch is the register. The Asahi Shimbun holds 14.9%, TV Asahi 9.3% and the Kosetsu Museum 7.0%, a related media group of about 31% that would likely side with management.</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朝日新聞社</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14.88%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6,224,900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テレビ朝日ホールディングス</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9.27%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3,877,600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公益財団法人香雪美術館</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7.00%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2,930,000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4.35%</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1,818,811</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学校法人帝京大学</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3.76%</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1,571,000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朝日新聞信用組合</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3.59%</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1,500,000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大阪瓦斯</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1,065,000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嶋村吉洋映画企画</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1.92%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804,000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近鉄バス</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1.91%</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800,000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竹中工務店</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1.86%</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776,600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0.10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Musashi (7521)</w:t>
      </w:r>
    </w:p>
    <w:p>
      <w:pPr>
        <w:spacing w:after="120" w:before="0"/>
      </w:pPr>
      <w:r>
        <w:rPr>
          <w:rFonts w:ascii="Arial" w:cs="Arial" w:eastAsia="Yu Gothic" w:hAnsi="Arial"/>
          <w:b/>
          <w:bCs/>
          <w:sz w:val="20"/>
          <w:szCs w:val="20"/>
        </w:rPr>
        <w:t xml:space="preserve">Undervalued on our numbers: the DCF value is ¥8,311 (¥7,593–¥9,333) a share, against a price of ¥2,647.</w:t>
      </w:r>
    </w:p>
    <w:p>
      <w:pPr>
        <w:spacing w:after="80"/>
      </w:pPr>
      <w:r>
        <w:drawing>
          <wp:inline distT="0" distB="0" distL="0" distR="0">
            <wp:extent cx="5943600" cy="24288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Musashi sells election systems such as vote-counting machines, document digitization, printing and cash-handling equipment. Earnings rise and fall with election cycles. Last year's 11.5% margin was well above the 7.1% five-year average we use. Cash of ¥23.6B is roughly equal to its market value.</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¥40.6B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11.5% → 7.1%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-2.0%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3.58</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29.0% vs 5.8%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0.77 (Office Equipment &amp; Services; unlevered 0.68)</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6.5% / 5.8%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¥23.6B / ¥5.6B / ¥3.5B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¥8,311 (¥7,593–¥9,333)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¥8,915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61.9%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0.57 vs 1.22 (ROE 7.6%; Wholesale sector regression, 270 companies, R² 0.10)</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¥2,647</w:t>
            </w:r>
          </w:p>
        </w:tc>
      </w:tr>
    </w:tbl>
    <w:p>
      <w:pPr>
        <w:spacing w:after="120" w:before="100"/>
      </w:pPr>
      <w:r>
        <w:rPr>
          <w:rFonts w:ascii="Arial" w:cs="Arial" w:eastAsia="Yu Gothic" w:hAnsi="Arial"/>
          <w:sz w:val="20"/>
          <w:szCs w:val="20"/>
        </w:rPr>
        <w:t xml:space="preserve">The DCF of ¥8,311 (¥7,593–¥9,333) against ¥2,647 mostly reflects that cash plus a steady business. Two private companies, 上毛実業 (17.5%) and ショウリン商事 (11.3%), plus 14% treasury stock, leave a small free float and little room for an outsider.</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上毛実業</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17.46%</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1,388,000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14.29%</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1,135,700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ショウリン商事</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11.28%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897,000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自社社員持株会</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3.94%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313,000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自社互助会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3.76%</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小林厚一</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237,000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内藤征吾</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2.87%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228,000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インタラクティブ･ブローカーズ</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光通信KK投資事業有限責任組合</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2.49%</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198,000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みずほ銀行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2.01%</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Nakayama Steel Works (5408)</w:t>
      </w:r>
    </w:p>
    <w:p>
      <w:pPr>
        <w:spacing w:after="120" w:before="0"/>
      </w:pPr>
      <w:r>
        <w:rPr>
          <w:rFonts w:ascii="Arial" w:cs="Arial" w:eastAsia="Yu Gothic" w:hAnsi="Arial"/>
          <w:b/>
          <w:bCs/>
          <w:sz w:val="20"/>
          <w:szCs w:val="20"/>
        </w:rPr>
        <w:t xml:space="preserve">Undervalued on our numbers: the DCF value is ¥1,882 (¥1,656–¥2,196) a share, against a price of ¥619.</w:t>
      </w:r>
    </w:p>
    <w:p>
      <w:pPr>
        <w:spacing w:after="80"/>
      </w:pPr>
      <w:r>
        <w:drawing>
          <wp:inline distT="0" distB="0" distL="0" distR="0">
            <wp:extent cx="5943600" cy="24288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Nakayama Steel makes hot-rolled sheet, bars and wire rod in Osaka, plus engineering, building materials and real estate. Margins slid to 3.3% last year. Hanwa Kogyo (12.8%) and Air Water (7.5%) are its largest outside holders, and 14% is treasury stock.</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¥148.3B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3.3% → 5.3%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-0.9%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3.8% vs 6.3%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0.93 (Steel; unlevered 0.79)</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7.3% / 6.3%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¥23.2B / ¥4.0B / ¥8.5B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¥1,882 (¥1,656–¥2,196)</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¥1,977</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59.9%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0.35 vs 0.68 (ROE 2.2%; Iron &amp; steel sector regression, 36 companies, R² 0.12)</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¥619</w:t>
            </w:r>
          </w:p>
        </w:tc>
      </w:tr>
    </w:tbl>
    <w:p>
      <w:pPr>
        <w:spacing w:after="120" w:before="100"/>
      </w:pPr>
      <w:r>
        <w:rPr>
          <w:rFonts w:ascii="Arial" w:cs="Arial" w:eastAsia="Yu Gothic" w:hAnsi="Arial"/>
          <w:sz w:val="20"/>
          <w:szCs w:val="20"/>
        </w:rPr>
        <w:t xml:space="preserve">The DCF assumes margins return to the 5.3% five-year average and gives ¥1,882 (¥1,656–¥2,196) against ¥619. That normalization is the whole case. As with Kyoei Steel, Air Water's stake could come up for sale.</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14.05%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8,863,800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阪和興業</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12.77%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8,058,000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エア・ウォーター</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7.50%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4,729,000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6.08%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3,836,000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大阪瓦斯</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1,923,000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丸一鋼管</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2.06%</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1,300,000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尼崎製罐</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1,274,000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BNYメロンSANV･WSゼナー･ジャパンEIファンド</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1,058,000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中山持株共栄会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1.36%</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859,000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日鉄物産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1.29%</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815,000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ディメンションETFトラスト･ディメンションInt`l･SCV･ETF</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0.95%</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598,000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Cleanup (7955)</w:t>
      </w:r>
    </w:p>
    <w:p>
      <w:pPr>
        <w:spacing w:after="120" w:before="0"/>
      </w:pPr>
      <w:r>
        <w:rPr>
          <w:rFonts w:ascii="Arial" w:cs="Arial" w:eastAsia="Yu Gothic" w:hAnsi="Arial"/>
          <w:b/>
          <w:bCs/>
          <w:sz w:val="20"/>
          <w:szCs w:val="20"/>
        </w:rPr>
        <w:t xml:space="preserve">Undervalued on our numbers: the DCF value is ¥1,347 (¥1,198–¥1,553) a share, against a price of ¥932.</w:t>
      </w:r>
    </w:p>
    <w:p>
      <w:pPr>
        <w:spacing w:after="80"/>
      </w:pPr>
      <w:r>
        <w:drawing>
          <wp:inline distT="0" distB="0" distL="0" distR="0">
            <wp:extent cx="5943600" cy="24288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Cleanup makes kitchen systems and bathroom units for Japanese housing and renovation. It has thin 2–3% margins but little debt and ¥19.4B of cash. The founding family's company, 井上, holds 23.6%, and two supplier and customer associations hold another 13%.</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¥134.5B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2.9% → 2.3%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4.2%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3.05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6.3% vs 6.8%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1.07 (Furn/Home Furnishings; unlevered 0.90)</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8.0% / 6.8%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¥19.4B / ¥5.7B / ¥8.8B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¥1,347 (¥1,198–¥1,553)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¥1,356</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76.9%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0.56 vs 1.14 (ROE 5.8%; Other products sector regression, 98 companies, R² 0.21)</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¥932</w:t>
            </w:r>
          </w:p>
        </w:tc>
      </w:tr>
    </w:tbl>
    <w:p>
      <w:pPr>
        <w:spacing w:after="120" w:before="100"/>
      </w:pPr>
      <w:r>
        <w:rPr>
          <w:rFonts w:ascii="Arial" w:cs="Arial" w:eastAsia="Yu Gothic" w:hAnsi="Arial"/>
          <w:sz w:val="20"/>
          <w:szCs w:val="20"/>
        </w:rPr>
        <w:t xml:space="preserve">The DCF gives ¥1,347 (¥1,198–¥1,553) against ¥932. The discount reflects a shrinking housing market, and the founder-friendly register shields management from pressure.</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(株)井上</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23.62%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8,609,000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6.78%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2,471,000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クリナップ真栄会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6.60%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2,405,000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クリナップ共進会</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6.25%</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2,277,000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(株)タカヤス</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5.17%</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1,885,000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自社社員持株会</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4.84%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1,764,000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1,177,600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ステート･ストリート･バンク＆トラスト</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881,000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JPモルガン･チェース･バンク</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852,000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ミツウロコグループホールディングス</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1.64%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597,000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三菱UFJ銀行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1.53%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557,000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bl>
    <w:p>
      <w:pPr>
        <w:pStyle w:val="Heading2"/>
        <w:keepNext/>
        <w:spacing w:after="80" w:before="240"/>
      </w:pPr>
      <w:r>
        <w:rPr>
          <w:rFonts w:ascii="Arial" w:cs="Arial" w:eastAsia="Yu Gothic" w:hAnsi="Arial"/>
          <w:b/>
          <w:bCs/>
          <w:color w:val="2E5597"/>
          <w:sz w:val="25"/>
          <w:szCs w:val="25"/>
        </w:rPr>
        <w:t xml:space="preserve">Fukuvi Chemical Industry (7871)</w:t>
      </w:r>
    </w:p>
    <w:p>
      <w:pPr>
        <w:spacing w:after="120" w:before="0"/>
      </w:pPr>
      <w:r>
        <w:rPr>
          <w:rFonts w:ascii="Arial" w:cs="Arial" w:eastAsia="Yu Gothic" w:hAnsi="Arial"/>
          <w:b/>
          <w:bCs/>
          <w:sz w:val="20"/>
          <w:szCs w:val="20"/>
        </w:rPr>
        <w:t xml:space="preserve">Undervalued on our numbers: the DCF value is ¥1,757 (¥1,638–¥1,918) a share, against a price of ¥1,010.</w:t>
      </w:r>
    </w:p>
    <w:p>
      <w:pPr>
        <w:spacing w:after="80"/>
      </w:pPr>
      <w:r>
        <w:drawing>
          <wp:inline distT="0" distB="0" distL="0" distR="0">
            <wp:extent cx="5943600" cy="24288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Fukuvi makes plastic extruded building materials, such as skirting boards, flooring and trim, sold mainly to housing makers. It has ¥13.5B of cash and ¥7.7B of investments against about a ¥20 billion market value. Its register is corporate: 八木熊 12.4%, Nagase &amp; Co. 11.9%, a Mitsui Chemicals pension trust 9.0% and Mitsui &amp; Co. Plastics 4.8%.</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¥40.6B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4.3% → 4.0%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3.1%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1.94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5.8% vs 7.2%</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0.99 (Building Materials; unlevered 0.94)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7.6% / 7.2%</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¥13.5B / ¥7.7B / ¥1.5B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¥1,757 (¥1,638–¥1,918)</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¥1,754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68.0%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0.51 vs 1.15 (ROE 4.1%; Chemicals sector regression, 193 companies, R² 0.14)</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¥1,010</w:t>
            </w:r>
          </w:p>
        </w:tc>
      </w:tr>
    </w:tbl>
    <w:p>
      <w:pPr>
        <w:spacing w:after="120" w:before="100"/>
      </w:pPr>
      <w:r>
        <w:rPr>
          <w:rFonts w:ascii="Arial" w:cs="Arial" w:eastAsia="Yu Gothic" w:hAnsi="Arial"/>
          <w:sz w:val="20"/>
          <w:szCs w:val="20"/>
        </w:rPr>
        <w:t xml:space="preserve">The DCF gives ¥1,757 (¥1,638–¥1,918) against ¥1,010. An activist would push for the corporate holders to sell or for a parent to buy out the rest.</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(株)八木熊</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12.44%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2,574,000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長瀬産業</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11.91%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2,464,000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日本カストディ銀行(三井化学退職給付信託口)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8.97%</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1,856,000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三井物産プラスチック</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4.75%</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983,000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4.33%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895,900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八木誠一郎</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4.01%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830,000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福井銀行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3.43%</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710,000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昭和興産</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3.24%</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670,000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北陸銀行</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3.02%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625,000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自社従業員持株会</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2.91%</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601,000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蝶理</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2.90%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600,000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pPr>
        <w:pStyle w:val="Heading2"/>
        <w:keepNext/>
        <w:spacing w:after="80" w:before="240"/>
      </w:pPr>
      <w:r>
        <w:rPr>
          <w:rFonts w:ascii="Arial" w:cs="Arial" w:eastAsia="Yu Gothic" w:hAnsi="Arial"/>
          <w:b/>
          <w:bCs/>
          <w:color w:val="2E5597"/>
          <w:sz w:val="25"/>
          <w:szCs w:val="25"/>
        </w:rPr>
        <w:t xml:space="preserve">Kitagawa (6317)</w:t>
      </w:r>
    </w:p>
    <w:p>
      <w:pPr>
        <w:spacing w:after="120" w:before="0"/>
      </w:pPr>
      <w:r>
        <w:rPr>
          <w:rFonts w:ascii="Arial" w:cs="Arial" w:eastAsia="Yu Gothic" w:hAnsi="Arial"/>
          <w:b/>
          <w:bCs/>
          <w:sz w:val="20"/>
          <w:szCs w:val="20"/>
        </w:rPr>
        <w:t xml:space="preserve">The cash flows do not support the price: the DCF value is ¥777 (¥586–¥1,039) a share, against ¥2,552, so the case rests on assets or an event.</w:t>
      </w:r>
    </w:p>
    <w:p>
      <w:pPr>
        <w:spacing w:after="80"/>
      </w:pPr>
      <w:r>
        <w:drawing>
          <wp:inline distT="0" distB="0" distL="0" distR="0">
            <wp:extent cx="5943600" cy="24288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28875"/>
                    </a:xfrm>
                    <a:prstGeom prst="rect">
                      <a:avLst/>
                    </a:prstGeom>
                  </pic:spPr>
                </pic:pic>
              </a:graphicData>
            </a:graphic>
          </wp:inline>
        </w:drawing>
      </w:r>
    </w:p>
    <w:p>
      <w:pPr>
        <w:keepNext/>
        <w:spacing w:after="60" w:before="140"/>
      </w:pPr>
      <w:r>
        <w:rPr>
          <w:rFonts w:ascii="Arial" w:cs="Arial" w:eastAsia="Yu Gothic" w:hAnsi="Arial"/>
          <w:b/>
          <w:bCs/>
          <w:color w:val="333333"/>
          <w:sz w:val="20"/>
          <w:szCs w:val="20"/>
        </w:rPr>
        <w:t xml:space="preserve">The story</w:t>
      </w:r>
    </w:p>
    <w:p>
      <w:pPr>
        <w:spacing w:after="120" w:before="0"/>
      </w:pPr>
      <w:r>
        <w:rPr>
          <w:rFonts w:ascii="Arial" w:cs="Arial" w:eastAsia="Yu Gothic" w:hAnsi="Arial"/>
          <w:sz w:val="20"/>
          <w:szCs w:val="20"/>
        </w:rPr>
        <w:t xml:space="preserve">Kitagawa makes machine-tool chucks, tower cranes, multi-level parking systems and car castings. The stock is up 56% in three months. On September 14 the company raised its full-year operating profit forecast from ¥3.0 billion to ¥4.5 billion and its dividend from ¥64 to ¥110, partly on delayed and one-off project revenue.</w:t>
      </w:r>
    </w:p>
    <w:p>
      <w:pPr>
        <w:keepNext/>
        <w:spacing w:after="60" w:before="140"/>
      </w:pPr>
      <w:r>
        <w:rPr>
          <w:rFonts w:ascii="Arial" w:cs="Arial" w:eastAsia="Yu Gothic" w:hAnsi="Arial"/>
          <w:b/>
          <w:bCs/>
          <w:color w:val="333333"/>
          <w:sz w:val="20"/>
          <w:szCs w:val="20"/>
        </w:rPr>
        <w:t xml:space="preserve">From story to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6178"/>
      </w:tblGrid>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Base-year revenue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¥58.4B (fiscal year to 2026-03)</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Operating margin, last year → target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4.6% → 2.9% (five-year average, reached by year 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Revenue growth, years 1–5</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5.9% a year, fading to 2.5% by year 10</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Sales-to-capital (reinvestment)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1.30</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Return on capital vs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4.2% vs 8.2%</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Beta (industry)</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1.87 (Machinery; unlevered 1.27)</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Cost of equity / cost of capital</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12.1% / 8.2%</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Cash / investment securities / debt</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¥12.0B / ¥5.6B / ¥16.4B (balance sheet 2026-03)</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DCF value per share (cost of capital ±1 point)</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¥777 (¥586–¥1,039)</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No-growth value per share</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¥1,655</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Terminal value share of operating value</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n/m</w:t>
            </w:r>
          </w:p>
        </w:tc>
      </w:tr>
      <w:tr>
        <w:trPr>
          <w:cantSplit/>
        </w:trPr>
        <w:tc>
          <w:tcPr>
            <w:tcW w:type="dxa" w:w="3182"/>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Price-to-book: actual vs peer-predicted</w:t>
            </w:r>
          </w:p>
        </w:tc>
        <w:tc>
          <w:tcPr>
            <w:tcW w:type="dxa" w:w="617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0.52 vs 1.35 (ROE 6.7%; Machinery sector regression, 196 companies, R² 0.06)</w:t>
            </w:r>
          </w:p>
        </w:tc>
      </w:tr>
      <w:tr>
        <w:trPr>
          <w:cantSplit/>
        </w:trPr>
        <w:tc>
          <w:tcPr>
            <w:tcW w:type="dxa" w:w="3182"/>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Price (2026-09-29)</w:t>
            </w:r>
          </w:p>
        </w:tc>
        <w:tc>
          <w:tcPr>
            <w:tcW w:type="dxa" w:w="617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¥2,552</w:t>
            </w:r>
          </w:p>
        </w:tc>
      </w:tr>
    </w:tbl>
    <w:p>
      <w:pPr>
        <w:spacing w:after="120" w:before="100"/>
      </w:pPr>
      <w:r>
        <w:rPr>
          <w:rFonts w:ascii="Arial" w:cs="Arial" w:eastAsia="Yu Gothic" w:hAnsi="Arial"/>
          <w:sz w:val="20"/>
          <w:szCs w:val="20"/>
        </w:rPr>
        <w:t xml:space="preserve">Return on capital of 4.2% is below the 8.2% cost of capital, so growth destroys value. The DCF gives ¥777 and a no-growth value of ¥1,655, both below ¥2,552. On our numbers, the rally has run ahead of the fundamentals.</w:t>
      </w:r>
    </w:p>
    <w:p>
      <w:pPr>
        <w:keepNext/>
        <w:spacing w:after="60" w:before="140"/>
      </w:pPr>
      <w:r>
        <w:rPr>
          <w:rFonts w:ascii="Arial" w:cs="Arial" w:eastAsia="Yu Gothic" w:hAnsi="Arial"/>
          <w:b/>
          <w:bCs/>
          <w:color w:val="333333"/>
          <w:sz w:val="20"/>
          <w:szCs w:val="20"/>
        </w:rPr>
        <w:t xml:space="preserve">Top 10 shareholders plus treasury stock (March 2026 annual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5148"/>
        <w:gridCol w:w="1029"/>
        <w:gridCol w:w="1591"/>
        <w:gridCol w:w="1124"/>
      </w:tblGrid>
      <w:tr>
        <w:trPr>
          <w:tblHeader/>
        </w:trPr>
        <w:tc>
          <w:tcPr>
            <w:tcW w:type="dxa" w:w="46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w:t>
            </w:r>
          </w:p>
        </w:tc>
        <w:tc>
          <w:tcPr>
            <w:tcW w:type="dxa" w:w="5148"/>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Shareholder</w:t>
            </w:r>
          </w:p>
        </w:tc>
        <w:tc>
          <w:tcPr>
            <w:tcW w:type="dxa" w:w="1029"/>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Stake</w:t>
            </w:r>
          </w:p>
        </w:tc>
        <w:tc>
          <w:tcPr>
            <w:tcW w:type="dxa" w:w="1591"/>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Shares</w:t>
            </w:r>
          </w:p>
        </w:tc>
        <w:tc>
          <w:tcPr>
            <w:tcW w:type="dxa" w:w="1124"/>
            <w:tcBorders>
              <w:top w:val="single" w:color="BFC7D5" w:sz="4"/>
              <w:left w:val="single" w:color="BFC7D5" w:sz="4"/>
              <w:bottom w:val="single" w:color="BFC7D5" w:sz="4"/>
              <w:right w:val="single" w:color="BFC7D5" w:sz="4"/>
            </w:tcBorders>
            <w:shd w:fill="1F3864" w:color="auto" w:val="clear"/>
            <w:tcMar>
              <w:top w:type="dxa" w:w="40"/>
              <w:left w:type="dxa" w:w="80"/>
              <w:bottom w:type="dxa" w:w="40"/>
              <w:right w:type="dxa" w:w="80"/>
            </w:tcMar>
          </w:tcPr>
          <w:p>
            <w:pPr>
              <w:jc w:val="left"/>
            </w:pPr>
            <w:r>
              <w:rPr>
                <w:rFonts w:ascii="Arial" w:cs="Arial" w:eastAsia="Yu Gothic" w:hAnsi="Arial"/>
                <w:b/>
                <w:bCs/>
                <w:color w:val="FFFFFF"/>
                <w:sz w:val="16"/>
                <w:szCs w:val="16"/>
              </w:rPr>
              <w:t xml:space="preserve">vs prior half</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日本マスタートラスト信託銀行(信託口)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8.44%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815,000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2</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北川鉄工所みのり会</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7.75%</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748,000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3</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インタラクティブ･ブローカーズ</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5.00%</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483,000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up</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4</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広島銀行</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4.62%</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446,000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5</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自社(自己株口)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4.14%</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399,200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6</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みずほ信託銀行</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2.38%</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7</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自社株投資会</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2.37%</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229,000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8</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秋元利規</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200,000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9</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日本カストディ銀行(信託口)</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1.82%</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176,000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down</w:t>
            </w:r>
          </w:p>
        </w:tc>
      </w:tr>
      <w:tr>
        <w:trPr>
          <w:cantSplit/>
        </w:trPr>
        <w:tc>
          <w:tcPr>
            <w:tcW w:type="dxa" w:w="46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10</w:t>
            </w:r>
          </w:p>
        </w:tc>
        <w:tc>
          <w:tcPr>
            <w:tcW w:type="dxa" w:w="5148"/>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朝日生命保険</w:t>
            </w:r>
          </w:p>
        </w:tc>
        <w:tc>
          <w:tcPr>
            <w:tcW w:type="dxa" w:w="1029"/>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1.77%</w:t>
            </w:r>
          </w:p>
        </w:tc>
        <w:tc>
          <w:tcPr>
            <w:tcW w:type="dxa" w:w="1591"/>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171,000</w:t>
            </w:r>
          </w:p>
        </w:tc>
        <w:tc>
          <w:tcPr>
            <w:tcW w:type="dxa" w:w="1124"/>
            <w:tcBorders>
              <w:top w:val="single" w:color="BFC7D5" w:sz="4"/>
              <w:left w:val="single" w:color="BFC7D5" w:sz="4"/>
              <w:bottom w:val="single" w:color="BFC7D5" w:sz="4"/>
              <w:right w:val="single" w:color="BFC7D5" w:sz="4"/>
            </w:tcBorders>
            <w:shd w:fill="F2F5FA"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r>
        <w:trPr>
          <w:cantSplit/>
        </w:trPr>
        <w:tc>
          <w:tcPr>
            <w:tcW w:type="dxa" w:w="46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11</w:t>
            </w:r>
          </w:p>
        </w:tc>
        <w:tc>
          <w:tcPr>
            <w:tcW w:type="dxa" w:w="5148"/>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北川祐治</w:t>
            </w:r>
          </w:p>
        </w:tc>
        <w:tc>
          <w:tcPr>
            <w:tcW w:type="dxa" w:w="1029"/>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1.48%</w:t>
            </w:r>
          </w:p>
        </w:tc>
        <w:tc>
          <w:tcPr>
            <w:tcW w:type="dxa" w:w="1591"/>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right"/>
            </w:pPr>
            <w:r>
              <w:rPr>
                <w:rFonts w:ascii="Arial" w:cs="Arial" w:eastAsia="Yu Gothic" w:hAnsi="Arial"/>
                <w:b w:val="false"/>
                <w:bCs w:val="false"/>
                <w:sz w:val="16"/>
                <w:szCs w:val="16"/>
              </w:rPr>
              <w:t xml:space="preserve">143,000</w:t>
            </w:r>
          </w:p>
        </w:tc>
        <w:tc>
          <w:tcPr>
            <w:tcW w:type="dxa" w:w="1124"/>
            <w:tcBorders>
              <w:top w:val="single" w:color="BFC7D5" w:sz="4"/>
              <w:left w:val="single" w:color="BFC7D5" w:sz="4"/>
              <w:bottom w:val="single" w:color="BFC7D5" w:sz="4"/>
              <w:right w:val="single" w:color="BFC7D5" w:sz="4"/>
            </w:tcBorders>
            <w:shd w:fill="FFFFFF" w:color="auto" w:val="clear"/>
            <w:tcMar>
              <w:top w:type="dxa" w:w="40"/>
              <w:left w:type="dxa" w:w="80"/>
              <w:bottom w:type="dxa" w:w="40"/>
              <w:right w:type="dxa" w:w="80"/>
            </w:tcMar>
          </w:tcPr>
          <w:p>
            <w:pPr>
              <w:jc w:val="left"/>
            </w:pPr>
            <w:r>
              <w:rPr>
                <w:rFonts w:ascii="Arial" w:cs="Arial" w:eastAsia="Yu Gothic" w:hAnsi="Arial"/>
                <w:b w:val="false"/>
                <w:bCs w:val="false"/>
                <w:sz w:val="16"/>
                <w:szCs w:val="16"/>
              </w:rPr>
              <w:t xml:space="preserve"/>
            </w:r>
          </w:p>
        </w:tc>
      </w:tr>
    </w:tbl>
    <w:p>
      <w:r>
        <w:br w:type="page"/>
      </w:r>
    </w:p>
    <w:p>
      <w:pPr>
        <w:pStyle w:val="Heading1"/>
        <w:spacing w:after="120" w:before="280"/>
      </w:pPr>
      <w:r>
        <w:rPr>
          <w:rFonts w:ascii="Arial" w:cs="Arial" w:eastAsia="Yu Gothic" w:hAnsi="Arial"/>
          <w:b/>
          <w:bCs/>
          <w:color w:val="1F3864"/>
          <w:sz w:val="30"/>
          <w:szCs w:val="30"/>
        </w:rPr>
        <w:t xml:space="preserve">Sources</w:t>
      </w:r>
    </w:p>
    <w:p>
      <w:pPr>
        <w:pStyle w:val="ListParagraph"/>
        <w:numPr>
          <w:ilvl w:val="0"/>
          <w:numId w:val="2"/>
        </w:numPr>
        <w:spacing w:after="40"/>
      </w:pPr>
      <w:hyperlink w:history="1" r:id="rIdjg12uyeq3q902up8adhq7">
        <w:r>
          <w:rPr>
            <w:rStyle w:val="Hyperlink"/>
            <w:rFonts w:ascii="Arial" w:cs="Arial" w:eastAsia="Yu Gothic" w:hAnsi="Arial"/>
            <w:sz w:val="18"/>
            <w:szCs w:val="18"/>
          </w:rPr>
          <w:t xml:space="preserve">Financial statements and business descriptions: Financial Modeling Prep</w:t>
        </w:r>
      </w:hyperlink>
    </w:p>
    <w:p>
      <w:pPr>
        <w:pStyle w:val="ListParagraph"/>
        <w:numPr>
          <w:ilvl w:val="0"/>
          <w:numId w:val="2"/>
        </w:numPr>
        <w:spacing w:after="40"/>
      </w:pPr>
      <w:hyperlink w:history="1" r:id="rIdpcffw2_c3r3wwxj-rymte">
        <w:r>
          <w:rPr>
            <w:rStyle w:val="Hyperlink"/>
            <w:rFonts w:ascii="Arial" w:cs="Arial" w:eastAsia="Yu Gothic" w:hAnsi="Arial"/>
            <w:sz w:val="18"/>
            <w:szCs w:val="18"/>
          </w:rPr>
          <w:t xml:space="preserve">Prices, guidance, shares outstanding and treasury stock: J-Quants (JPX)</w:t>
        </w:r>
      </w:hyperlink>
    </w:p>
    <w:p>
      <w:pPr>
        <w:pStyle w:val="ListParagraph"/>
        <w:numPr>
          <w:ilvl w:val="0"/>
          <w:numId w:val="2"/>
        </w:numPr>
        <w:spacing w:after="40"/>
      </w:pPr>
      <w:hyperlink w:history="1" r:id="rIdu7fhhaf7pvl7c5mazbqh7">
        <w:r>
          <w:rPr>
            <w:rStyle w:val="Hyperlink"/>
            <w:rFonts w:ascii="Arial" w:cs="Arial" w:eastAsia="Yu Gothic" w:hAnsi="Arial"/>
            <w:sz w:val="18"/>
            <w:szCs w:val="18"/>
          </w:rPr>
          <w:t xml:space="preserve">Top-10 shareholders: Kabutan shareholder pages, e.g. TPR</w:t>
        </w:r>
      </w:hyperlink>
    </w:p>
    <w:p>
      <w:pPr>
        <w:pStyle w:val="ListParagraph"/>
        <w:numPr>
          <w:ilvl w:val="0"/>
          <w:numId w:val="2"/>
        </w:numPr>
        <w:spacing w:after="40"/>
      </w:pPr>
      <w:hyperlink w:history="1" r:id="rIdf7jh8gv20kdp4bnlopq3t">
        <w:r>
          <w:rPr>
            <w:rStyle w:val="Hyperlink"/>
            <w:rFonts w:ascii="Arial" w:cs="Arial" w:eastAsia="Yu Gothic" w:hAnsi="Arial"/>
            <w:sz w:val="18"/>
            <w:szCs w:val="18"/>
          </w:rPr>
          <w:t xml:space="preserve">Damodaran, Japan industry betas (January 2026)</w:t>
        </w:r>
      </w:hyperlink>
    </w:p>
    <w:p>
      <w:pPr>
        <w:pStyle w:val="ListParagraph"/>
        <w:numPr>
          <w:ilvl w:val="0"/>
          <w:numId w:val="2"/>
        </w:numPr>
        <w:spacing w:after="40"/>
      </w:pPr>
      <w:hyperlink w:history="1" r:id="rIdzqvtd1mb8lgmimak6qlhr">
        <w:r>
          <w:rPr>
            <w:rStyle w:val="Hyperlink"/>
            <w:rFonts w:ascii="Arial" w:cs="Arial" w:eastAsia="Yu Gothic" w:hAnsi="Arial"/>
            <w:sz w:val="18"/>
            <w:szCs w:val="18"/>
          </w:rPr>
          <w:t xml:space="preserve">Damodaran, country default spreads and risk premiums</w:t>
        </w:r>
      </w:hyperlink>
    </w:p>
    <w:p>
      <w:pPr>
        <w:pStyle w:val="ListParagraph"/>
        <w:numPr>
          <w:ilvl w:val="0"/>
          <w:numId w:val="2"/>
        </w:numPr>
        <w:spacing w:after="40"/>
      </w:pPr>
      <w:hyperlink w:history="1" r:id="rIdabcnthm3mfvwesjmbaewh">
        <w:r>
          <w:rPr>
            <w:rStyle w:val="Hyperlink"/>
            <w:rFonts w:ascii="Arial" w:cs="Arial" w:eastAsia="Yu Gothic" w:hAnsi="Arial"/>
            <w:sz w:val="18"/>
            <w:szCs w:val="18"/>
          </w:rPr>
          <w:t xml:space="preserve">Japan 10-year government bond yield (Trading Economics)</w:t>
        </w:r>
      </w:hyperlink>
    </w:p>
    <w:p>
      <w:pPr>
        <w:pStyle w:val="ListParagraph"/>
        <w:numPr>
          <w:ilvl w:val="0"/>
          <w:numId w:val="2"/>
        </w:numPr>
        <w:spacing w:after="40"/>
      </w:pPr>
      <w:hyperlink w:history="1" r:id="rIddrjlgjl2mvcetupoltiwp">
        <w:r>
          <w:rPr>
            <w:rStyle w:val="Hyperlink"/>
            <w:rFonts w:ascii="Arial" w:cs="Arial" w:eastAsia="Yu Gothic" w:hAnsi="Arial"/>
            <w:sz w:val="18"/>
            <w:szCs w:val="18"/>
          </w:rPr>
          <w:t xml:space="preserve">Oji Holdings takes 33% of Mitsubishi Paper (Nikkei, 2018)</w:t>
        </w:r>
      </w:hyperlink>
    </w:p>
    <w:p>
      <w:pPr>
        <w:pStyle w:val="ListParagraph"/>
        <w:numPr>
          <w:ilvl w:val="0"/>
          <w:numId w:val="2"/>
        </w:numPr>
        <w:spacing w:after="40"/>
      </w:pPr>
      <w:hyperlink w:history="1" r:id="rIdy-_uypnzguwsxlwn4i8u3">
        <w:r>
          <w:rPr>
            <w:rStyle w:val="Hyperlink"/>
            <w:rFonts w:ascii="Arial" w:cs="Arial" w:eastAsia="Yu Gothic" w:hAnsi="Arial"/>
            <w:sz w:val="18"/>
            <w:szCs w:val="18"/>
          </w:rPr>
          <w:t xml:space="preserve">Kitagawa raises guidance and dividend (Zaikei, 2026-09-14)</w:t>
        </w:r>
      </w:hyperlink>
    </w:p>
    <w:p>
      <w:pPr>
        <w:pStyle w:val="ListParagraph"/>
        <w:numPr>
          <w:ilvl w:val="0"/>
          <w:numId w:val="2"/>
        </w:numPr>
        <w:spacing w:after="40"/>
      </w:pPr>
      <w:hyperlink w:history="1" r:id="rId5oe7znovazidiuarj1na_">
        <w:r>
          <w:rPr>
            <w:rStyle w:val="Hyperlink"/>
            <w:rFonts w:ascii="Arial" w:cs="Arial" w:eastAsia="Yu Gothic" w:hAnsi="Arial"/>
            <w:sz w:val="18"/>
            <w:szCs w:val="18"/>
          </w:rPr>
          <w:t xml:space="preserve">Murakami-linked large-shareholding filings (ufocatch)</w:t>
        </w:r>
      </w:hyperlink>
    </w:p>
    <w:p>
      <w:pPr>
        <w:spacing w:after="120" w:before="80"/>
      </w:pPr>
      <w:r>
        <w:rPr>
          <w:rFonts w:ascii="Arial" w:cs="Arial" w:eastAsia="Yu Gothic" w:hAnsi="Arial"/>
          <w:i/>
          <w:iCs/>
          <w:sz w:val="17"/>
          <w:szCs w:val="17"/>
        </w:rPr>
        <w:t xml:space="preserve">Primo Global's borrowings (about ¥18 billion) come from a disclosure summary and were not checked against the filing.</w:t>
      </w:r>
    </w:p>
    <w:sectPr>
      <w:footerReference w:type="default" r:id="rId6"/>
      <w:pgSz w:w="12240" w:h="15840"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Yu Gothic" w:hAnsi="Arial"/>
        <w:color w:val="888888"/>
        <w:sz w:val="16"/>
        <w:szCs w:val="16"/>
      </w:rPr>
      <w:t xml:space="preserve">Murakami Watchlist · page </w:t>
    </w:r>
    <w:r>
      <w:rPr>
        <w:rFonts w:ascii="Arial" w:cs="Arial" w:eastAsia="Yu Gothic"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0"/>
      <w:szCs w:val="30"/>
    </w:rPr>
  </w:style>
  <w:style w:type="paragraph" w:styleId="Heading2">
    <w:name w:val="Heading 2"/>
    <w:basedOn w:val="Normal"/>
    <w:next w:val="Normal"/>
    <w:qFormat/>
    <w:pPr>
      <w:outlineLvl w:val="1"/>
    </w:pPr>
    <w:rPr>
      <w:rFonts w:ascii="Arial" w:cs="Arial" w:eastAsia="Arial" w:hAnsi="Arial"/>
      <w:b/>
      <w:b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jg12uyeq3q902up8adhq7" Type="http://schemas.openxmlformats.org/officeDocument/2006/relationships/hyperlink" Target="https://site.financialmodelingprep.com/" TargetMode="External"/><Relationship Id="rIdpcffw2_c3r3wwxj-rymte" Type="http://schemas.openxmlformats.org/officeDocument/2006/relationships/hyperlink" Target="https://jpx-jquants.com/" TargetMode="External"/><Relationship Id="rIdu7fhhaf7pvl7c5mazbqh7" Type="http://schemas.openxmlformats.org/officeDocument/2006/relationships/hyperlink" Target="https://kabutan.jp/stock/holder?code=6463" TargetMode="External"/><Relationship Id="rIdf7jh8gv20kdp4bnlopq3t" Type="http://schemas.openxmlformats.org/officeDocument/2006/relationships/hyperlink" Target="https://pages.stern.nyu.edu/~adamodar/pc/datasets/betaJapan.xls" TargetMode="External"/><Relationship Id="rIdzqvtd1mb8lgmimak6qlhr" Type="http://schemas.openxmlformats.org/officeDocument/2006/relationships/hyperlink" Target="https://pages.stern.nyu.edu/~adamodar/New_Home_Page/datafile/ctryprem.html" TargetMode="External"/><Relationship Id="rIdabcnthm3mfvwesjmbaewh" Type="http://schemas.openxmlformats.org/officeDocument/2006/relationships/hyperlink" Target="https://tradingeconomics.com/japan/government-bond-yield" TargetMode="External"/><Relationship Id="rIddrjlgjl2mvcetupoltiwp" Type="http://schemas.openxmlformats.org/officeDocument/2006/relationships/hyperlink" Target="https://www.nikkei.com/article/DGXMZO26607310W8A200C1TJ2000/" TargetMode="External"/><Relationship Id="rIdy-_uypnzguwsxlwn4i8u3" Type="http://schemas.openxmlformats.org/officeDocument/2006/relationships/hyperlink" Target="https://www.zaikei.co.jp/article/20260914/869958.html" TargetMode="External"/><Relationship Id="rId5oe7znovazidiuarj1na_" Type="http://schemas.openxmlformats.org/officeDocument/2006/relationships/hyperlink" Target="https://ufocatch.com/large-shareholding/holder/E35393" TargetMode="External"/><Relationship Id="rId8" Type="http://schemas.openxmlformats.org/officeDocument/2006/relationships/image" Target="media/b5c354e22df48f85e11c5be143d038bc01fb6298.png"/><Relationship Id="rId9" Type="http://schemas.openxmlformats.org/officeDocument/2006/relationships/image" Target="media/75f2d961d64e469886cc1888c949132fc88ef374.png"/><Relationship Id="rId10" Type="http://schemas.openxmlformats.org/officeDocument/2006/relationships/image" Target="media/0d17c2ff82030f1607599292395ee3c79b140b2e.png"/><Relationship Id="rId11" Type="http://schemas.openxmlformats.org/officeDocument/2006/relationships/image" Target="media/e002b458f992f1412262dde838066e8ecc760bbe.png"/><Relationship Id="rId12" Type="http://schemas.openxmlformats.org/officeDocument/2006/relationships/image" Target="media/9ba6f11bb512cf6ba35c61821f803896bdf98626.png"/><Relationship Id="rId13" Type="http://schemas.openxmlformats.org/officeDocument/2006/relationships/image" Target="media/8bcd711fa050e6abb4c724e7a29e147f95cf25d0.png"/><Relationship Id="rId14" Type="http://schemas.openxmlformats.org/officeDocument/2006/relationships/image" Target="media/ae1fd2167aadddd9426089fc56c913372c1c9695.png"/><Relationship Id="rId15" Type="http://schemas.openxmlformats.org/officeDocument/2006/relationships/image" Target="media/1a974bba6d5ce33f866fdcde60aa2ca498175da8.png"/><Relationship Id="rId16" Type="http://schemas.openxmlformats.org/officeDocument/2006/relationships/image" Target="media/6b0683575349c75e187f94057b3dca016f904ea8.png"/><Relationship Id="rId17" Type="http://schemas.openxmlformats.org/officeDocument/2006/relationships/image" Target="media/a487583d4ad1f462c143ccef74e0464fce834534.png"/><Relationship Id="rId18" Type="http://schemas.openxmlformats.org/officeDocument/2006/relationships/image" Target="media/f6c776c2729cd6d6133b3dd8291c8939636072ef.png"/><Relationship Id="rId19" Type="http://schemas.openxmlformats.org/officeDocument/2006/relationships/image" Target="media/87134d1972b61dbcf75d4e6422d44e35b3134fa6.png"/><Relationship Id="rId20" Type="http://schemas.openxmlformats.org/officeDocument/2006/relationships/image" Target="media/299d66204ab2907d96d9bed4cb976d3193301309.png"/><Relationship Id="rId21" Type="http://schemas.openxmlformats.org/officeDocument/2006/relationships/image" Target="media/030bca7427e024f5c917e4a2ba2802040444a8b6.png"/><Relationship Id="rId22" Type="http://schemas.openxmlformats.org/officeDocument/2006/relationships/image" Target="media/8b66acf76ae7f1875b275443d51eea728b8a991e.png"/><Relationship Id="rId23" Type="http://schemas.openxmlformats.org/officeDocument/2006/relationships/image" Target="media/764193380393fef4f9fefa6d27875c82c22d50d8.png"/><Relationship Id="rId24" Type="http://schemas.openxmlformats.org/officeDocument/2006/relationships/image" Target="media/5bd7216813a1c302335470a7aeb750048fc6393b.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Murakami Watchlist: Damodaran-Style Valuations</dc:title>
  <dc:creator>investing research</dc:creator>
  <cp:lastModifiedBy>Un-named</cp:lastModifiedBy>
  <cp:revision>1</cp:revision>
  <dcterms:created xsi:type="dcterms:W3CDTF">2026-09-30T03:52:00.304Z</dcterms:created>
  <dcterms:modified xsi:type="dcterms:W3CDTF">2026-09-30T03:52:00.305Z</dcterms:modified>
</cp:coreProperties>
</file>

<file path=docProps/custom.xml><?xml version="1.0" encoding="utf-8"?>
<Properties xmlns="http://schemas.openxmlformats.org/officeDocument/2006/custom-properties" xmlns:vt="http://schemas.openxmlformats.org/officeDocument/2006/docPropsVTypes"/>
</file>