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ilaga-exempel-på-systemutdata"/>
    <w:p>
      <w:pPr>
        <w:pStyle w:val="Heading1"/>
      </w:pPr>
      <w:r>
        <w:t xml:space="preserve">Bilaga: Exempel på systemutdata</w:t>
      </w:r>
    </w:p>
    <w:p>
      <w:pPr>
        <w:pStyle w:val="FirstParagraph"/>
      </w:pPr>
      <w:r>
        <w:t xml:space="preserve">Denna bilaga visar faktisk utdata från HuleEdus bedömningsinstrument, genererad under utveckling och testning med autentiska elevuppsatser från kursen Engelska 5.</w:t>
      </w:r>
    </w:p>
    <w:p>
      <w:r>
        <w:pict>
          <v:rect style="width:0;height:1.5pt" o:hralign="center" o:hrstd="t" o:hr="t"/>
        </w:pict>
      </w:r>
    </w:p>
    <w:bookmarkStart w:id="11" w:name="komparativ-bedömning-ankarvalidering"/>
    <w:p>
      <w:pPr>
        <w:pStyle w:val="Heading2"/>
      </w:pPr>
      <w:r>
        <w:t xml:space="preserve">1. Komparativ Bedömning: Ankarvalidering</w:t>
      </w:r>
    </w:p>
    <w:p>
      <w:pPr>
        <w:pStyle w:val="FirstParagraph"/>
      </w:pPr>
      <w:r>
        <w:t xml:space="preserve">Följande resultat visar hur systemet validerar sig självt genom att låta AI-bedömaren jämföra ankartexter med kända betyg. En perfekt korrelation (Kendall’s τ = 1,0) indikerar att modellen rangordnar texterna i samma ordning som de mänskliga bedömarna.</w:t>
      </w:r>
    </w:p>
    <w:bookmarkStart w:id="9" w:name="sammanfattning"/>
    <w:p>
      <w:pPr>
        <w:pStyle w:val="Heading3"/>
      </w:pPr>
      <w:r>
        <w:t xml:space="preserve">Sammanfattning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Mätvärde</w:t>
            </w:r>
          </w:p>
        </w:tc>
        <w:tc>
          <w:tcPr/>
          <w:p>
            <w:pPr>
              <w:pStyle w:val="Compact"/>
            </w:pPr>
            <w:r>
              <w:t xml:space="preserve">Resultat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Antal jämförelser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Inversioner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Kendall’s τ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</w:tr>
    </w:tbl>
    <w:bookmarkEnd w:id="9"/>
    <w:bookmarkStart w:id="10" w:name="ankarresultat"/>
    <w:p>
      <w:pPr>
        <w:pStyle w:val="Heading3"/>
      </w:pPr>
      <w:r>
        <w:t xml:space="preserve">Ankarresultat</w:t>
      </w:r>
    </w:p>
    <w:p>
      <w:pPr>
        <w:pStyle w:val="FirstParagraph"/>
      </w:pPr>
      <w:r>
        <w:t xml:space="preserve">Tabellen visar tolv ankartexter sorterade efter modellens beräknade kvalitetspoäng (θ). Kolumnen</w:t>
      </w:r>
      <w:r>
        <w:t xml:space="preserve"> </w:t>
      </w:r>
      <w:r>
        <w:t xml:space="preserve">“Förväntad”</w:t>
      </w:r>
      <w:r>
        <w:t xml:space="preserve"> </w:t>
      </w:r>
      <w:r>
        <w:t xml:space="preserve">anger den ordning som följer av de kända betygen.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Ankar-ID</w:t>
            </w:r>
          </w:p>
        </w:tc>
        <w:tc>
          <w:tcPr/>
          <w:p>
            <w:pPr>
              <w:pStyle w:val="Compact"/>
            </w:pPr>
            <w:r>
              <w:t xml:space="preserve">Betyg</w:t>
            </w:r>
          </w:p>
        </w:tc>
        <w:tc>
          <w:tcPr/>
          <w:p>
            <w:pPr>
              <w:pStyle w:val="Compact"/>
            </w:pPr>
            <w:r>
              <w:t xml:space="preserve">θ-poäng</w:t>
            </w:r>
          </w:p>
        </w:tc>
        <w:tc>
          <w:tcPr/>
          <w:p>
            <w:pPr>
              <w:pStyle w:val="Compact"/>
            </w:pPr>
            <w:r>
              <w:t xml:space="preserve">Rang</w:t>
            </w:r>
          </w:p>
        </w:tc>
        <w:tc>
          <w:tcPr/>
          <w:p>
            <w:pPr>
              <w:pStyle w:val="Compact"/>
            </w:pPr>
            <w:r>
              <w:t xml:space="preserve">Förväntad</w:t>
            </w:r>
          </w:p>
        </w:tc>
        <w:tc>
          <w:tcPr/>
          <w:p>
            <w:pPr>
              <w:pStyle w:val="Compact"/>
            </w:pPr>
            <w:r>
              <w:t xml:space="preserve">Vinster</w:t>
            </w:r>
          </w:p>
        </w:tc>
        <w:tc>
          <w:tcPr/>
          <w:p>
            <w:pPr>
              <w:pStyle w:val="Compact"/>
            </w:pPr>
            <w:r>
              <w:t xml:space="preserve">Förluster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ANCHOR_78DB411E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5,360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ANCHOR_8DE763C1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4,645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ANCHOR_71E159F0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3,846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ANCHOR_426FE254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2,993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ANCHOR_B8904D4E</w:t>
            </w:r>
          </w:p>
        </w:tc>
        <w:tc>
          <w:tcPr/>
          <w:p>
            <w:pPr>
              <w:pStyle w:val="Compact"/>
            </w:pPr>
            <w:r>
              <w:t xml:space="preserve">C+</w:t>
            </w:r>
          </w:p>
        </w:tc>
        <w:tc>
          <w:tcPr/>
          <w:p>
            <w:pPr>
              <w:pStyle w:val="Compact"/>
            </w:pPr>
            <w:r>
              <w:t xml:space="preserve">2,089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ANCHOR_C579C625</w:t>
            </w:r>
          </w:p>
        </w:tc>
        <w:tc>
          <w:tcPr/>
          <w:p>
            <w:pPr>
              <w:pStyle w:val="Compact"/>
            </w:pPr>
            <w:r>
              <w:t xml:space="preserve">C-</w:t>
            </w:r>
          </w:p>
        </w:tc>
        <w:tc>
          <w:tcPr/>
          <w:p>
            <w:pPr>
              <w:pStyle w:val="Compact"/>
            </w:pPr>
            <w:r>
              <w:t xml:space="preserve">1,125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ANCHOR_77B700CC</w:t>
            </w:r>
          </w:p>
        </w:tc>
        <w:tc>
          <w:tcPr/>
          <w:p>
            <w:pPr>
              <w:pStyle w:val="Compact"/>
            </w:pPr>
            <w:r>
              <w:t xml:space="preserve">D+</w:t>
            </w:r>
          </w:p>
        </w:tc>
        <w:tc>
          <w:tcPr/>
          <w:p>
            <w:pPr>
              <w:pStyle w:val="Compact"/>
            </w:pPr>
            <w:r>
              <w:t xml:space="preserve">0,089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ANCHOR_EF692795</w:t>
            </w:r>
          </w:p>
        </w:tc>
        <w:tc>
          <w:tcPr/>
          <w:p>
            <w:pPr>
              <w:pStyle w:val="Compact"/>
            </w:pPr>
            <w:r>
              <w:t xml:space="preserve">D-</w:t>
            </w:r>
          </w:p>
        </w:tc>
        <w:tc>
          <w:tcPr/>
          <w:p>
            <w:pPr>
              <w:pStyle w:val="Compact"/>
            </w:pPr>
            <w:r>
              <w:t xml:space="preserve">−1,040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ANCHOR_50C4F68E</w:t>
            </w:r>
          </w:p>
        </w:tc>
        <w:tc>
          <w:tcPr/>
          <w:p>
            <w:pPr>
              <w:pStyle w:val="Compact"/>
            </w:pPr>
            <w:r>
              <w:t xml:space="preserve">E+</w:t>
            </w:r>
          </w:p>
        </w:tc>
        <w:tc>
          <w:tcPr/>
          <w:p>
            <w:pPr>
              <w:pStyle w:val="Compact"/>
            </w:pPr>
            <w:r>
              <w:t xml:space="preserve">−2,292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ANCHOR_73127661</w:t>
            </w:r>
          </w:p>
        </w:tc>
        <w:tc>
          <w:tcPr/>
          <w:p>
            <w:pPr>
              <w:pStyle w:val="Compact"/>
            </w:pPr>
            <w:r>
              <w:t xml:space="preserve">E-</w:t>
            </w:r>
          </w:p>
        </w:tc>
        <w:tc>
          <w:tcPr/>
          <w:p>
            <w:pPr>
              <w:pStyle w:val="Compact"/>
            </w:pPr>
            <w:r>
              <w:t xml:space="preserve">−3,718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ANCHOR_D298E687</w:t>
            </w:r>
          </w:p>
        </w:tc>
        <w:tc>
          <w:tcPr/>
          <w:p>
            <w:pPr>
              <w:pStyle w:val="Compact"/>
            </w:pPr>
            <w:r>
              <w:t xml:space="preserve">F+</w:t>
            </w:r>
          </w:p>
        </w:tc>
        <w:tc>
          <w:tcPr/>
          <w:p>
            <w:pPr>
              <w:pStyle w:val="Compact"/>
            </w:pPr>
            <w:r>
              <w:t xml:space="preserve">−5,421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ANCHOR_363940D5</w:t>
            </w:r>
          </w:p>
        </w:tc>
        <w:tc>
          <w:tcPr/>
          <w:p>
            <w:pPr>
              <w:pStyle w:val="Compact"/>
            </w:pPr>
            <w:r>
              <w:t xml:space="preserve">F+</w:t>
            </w:r>
          </w:p>
        </w:tc>
        <w:tc>
          <w:tcPr/>
          <w:p>
            <w:pPr>
              <w:pStyle w:val="Compact"/>
            </w:pPr>
            <w:r>
              <w:t xml:space="preserve">−7,678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p>
      <w:pPr>
        <w:pStyle w:val="BodyText"/>
      </w:pPr>
      <w:r>
        <w:rPr>
          <w:i/>
          <w:iCs/>
        </w:rPr>
        <w:t xml:space="preserve">Källa: Körning a259881c, 2025-12-02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bedömningsprompt"/>
    <w:p>
      <w:pPr>
        <w:pStyle w:val="Heading2"/>
      </w:pPr>
      <w:r>
        <w:t xml:space="preserve">2. Bedömningsprompt</w:t>
      </w:r>
    </w:p>
    <w:p>
      <w:pPr>
        <w:pStyle w:val="FirstParagraph"/>
      </w:pPr>
      <w:r>
        <w:t xml:space="preserve">Systemet använder följande bedömningsmatris vid parvisa jämförelser. Matrisen är utformad för att spegla Skolverkets kunskapskrav för Engelska 5.</w:t>
      </w:r>
    </w:p>
    <w:bookmarkStart w:id="12" w:name="innehåll"/>
    <w:p>
      <w:pPr>
        <w:pStyle w:val="Heading3"/>
      </w:pPr>
      <w:r>
        <w:t xml:space="preserve">Innehåll</w:t>
      </w:r>
    </w:p>
    <w:p>
      <w:pPr>
        <w:pStyle w:val="Compact"/>
        <w:numPr>
          <w:ilvl w:val="0"/>
          <w:numId w:val="1001"/>
        </w:numPr>
      </w:pPr>
      <w:r>
        <w:t xml:space="preserve">Uppgiftsuppfyllelse</w:t>
      </w:r>
    </w:p>
    <w:p>
      <w:pPr>
        <w:pStyle w:val="Compact"/>
        <w:numPr>
          <w:ilvl w:val="0"/>
          <w:numId w:val="1001"/>
        </w:numPr>
      </w:pPr>
      <w:r>
        <w:t xml:space="preserve">Tydlighet i idéer</w:t>
      </w:r>
    </w:p>
    <w:p>
      <w:pPr>
        <w:pStyle w:val="Compact"/>
        <w:numPr>
          <w:ilvl w:val="0"/>
          <w:numId w:val="1001"/>
        </w:numPr>
      </w:pPr>
      <w:r>
        <w:t xml:space="preserve">Ämnesrelevans och djup</w:t>
      </w:r>
    </w:p>
    <w:p>
      <w:pPr>
        <w:pStyle w:val="Compact"/>
        <w:numPr>
          <w:ilvl w:val="0"/>
          <w:numId w:val="1001"/>
        </w:numPr>
      </w:pPr>
      <w:r>
        <w:t xml:space="preserve">Rikedom och variation i innehåll</w:t>
      </w:r>
    </w:p>
    <w:p>
      <w:pPr>
        <w:pStyle w:val="Compact"/>
        <w:numPr>
          <w:ilvl w:val="0"/>
          <w:numId w:val="1001"/>
        </w:numPr>
      </w:pPr>
      <w:r>
        <w:t xml:space="preserve">Anpassning till syfte, mottagare, situation och genre</w:t>
      </w:r>
    </w:p>
    <w:bookmarkEnd w:id="12"/>
    <w:bookmarkStart w:id="13" w:name="språk-och-uttryck"/>
    <w:p>
      <w:pPr>
        <w:pStyle w:val="Heading3"/>
      </w:pPr>
      <w:r>
        <w:t xml:space="preserve">Språk och uttryck</w:t>
      </w:r>
    </w:p>
    <w:p>
      <w:pPr>
        <w:pStyle w:val="Compact"/>
        <w:numPr>
          <w:ilvl w:val="0"/>
          <w:numId w:val="1002"/>
        </w:numPr>
      </w:pPr>
      <w:r>
        <w:t xml:space="preserve">Flyt och naturlighet i uttrycket</w:t>
      </w:r>
    </w:p>
    <w:p>
      <w:pPr>
        <w:pStyle w:val="Compact"/>
        <w:numPr>
          <w:ilvl w:val="0"/>
          <w:numId w:val="1002"/>
        </w:numPr>
      </w:pPr>
      <w:r>
        <w:t xml:space="preserve">Sofistikering, fraseologi och idiomatik</w:t>
      </w:r>
    </w:p>
    <w:p>
      <w:pPr>
        <w:pStyle w:val="Compact"/>
        <w:numPr>
          <w:ilvl w:val="0"/>
          <w:numId w:val="1002"/>
        </w:numPr>
      </w:pPr>
      <w:r>
        <w:t xml:space="preserve">Meningsbyggnad och sammanhang</w:t>
      </w:r>
    </w:p>
    <w:p>
      <w:pPr>
        <w:pStyle w:val="Compact"/>
        <w:numPr>
          <w:ilvl w:val="0"/>
          <w:numId w:val="1002"/>
        </w:numPr>
      </w:pPr>
      <w:r>
        <w:t xml:space="preserve">Lämpligt register och ton</w:t>
      </w:r>
    </w:p>
    <w:p>
      <w:pPr>
        <w:pStyle w:val="Compact"/>
        <w:numPr>
          <w:ilvl w:val="0"/>
          <w:numId w:val="1002"/>
        </w:numPr>
      </w:pPr>
      <w:r>
        <w:t xml:space="preserve">Korrekthet i stavning och interpunktion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koppling-till-systemskisser"/>
    <w:p>
      <w:pPr>
        <w:pStyle w:val="Heading2"/>
      </w:pPr>
      <w:r>
        <w:t xml:space="preserve">3. Koppling till systemskisser</w:t>
      </w:r>
    </w:p>
    <w:p>
      <w:pPr>
        <w:pStyle w:val="FirstParagraph"/>
      </w:pPr>
      <w:r>
        <w:t xml:space="preserve">Utdatan ovan motsvarar följande delar i systemskisserna (se Bilaga: Systemskisser):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Utdatatyp</w:t>
            </w:r>
          </w:p>
        </w:tc>
        <w:tc>
          <w:tcPr/>
          <w:p>
            <w:pPr>
              <w:pStyle w:val="Compact"/>
            </w:pPr>
            <w:r>
              <w:t xml:space="preserve">Skisskomponent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Ankarvalidering</w:t>
            </w:r>
          </w:p>
        </w:tc>
        <w:tc>
          <w:tcPr/>
          <w:p>
            <w:pPr>
              <w:pStyle w:val="Compact"/>
            </w:pPr>
            <w:r>
              <w:t xml:space="preserve">Komparativ Bedömning → Statistisk Modellering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θ-poäng (Bradley-Terry)</w:t>
            </w:r>
          </w:p>
        </w:tc>
        <w:tc>
          <w:tcPr/>
          <w:p>
            <w:pPr>
              <w:pStyle w:val="Compact"/>
            </w:pPr>
            <w:r>
              <w:t xml:space="preserve">Statistisk Modellering → Bradley-Terry Modell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Betygsprognos</w:t>
            </w:r>
          </w:p>
        </w:tc>
        <w:tc>
          <w:tcPr/>
          <w:p>
            <w:pPr>
              <w:pStyle w:val="Compact"/>
            </w:pPr>
            <w:r>
              <w:t xml:space="preserve">Resultat → Härledd från ankartexter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Bedömningsmatris</w:t>
            </w:r>
          </w:p>
        </w:tc>
        <w:tc>
          <w:tcPr/>
          <w:p>
            <w:pPr>
              <w:pStyle w:val="Compact"/>
            </w:pPr>
            <w:r>
              <w:t xml:space="preserve">Komparativ Process → AI-Bedömare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2026-01-30T17:26:25Z</dcterms:created>
  <dcterms:modified xsi:type="dcterms:W3CDTF">2026-01-30T17:26:25Z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