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Yukon</w:t>
      </w:r>
      <w:r>
        <w:t xml:space="preserve"> </w:t>
      </w:r>
      <w:r>
        <w:t xml:space="preserve">Conditions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  <w:r>
        <w:t xml:space="preserve"> </w:t>
      </w:r>
      <w:r>
        <w:t xml:space="preserve">at</w:t>
      </w:r>
      <w:r>
        <w:t xml:space="preserve"> </w:t>
      </w:r>
      <w:r>
        <w:t xml:space="preserve">10:00</w:t>
      </w:r>
    </w:p>
    <w:p>
      <w:pPr>
        <w:pStyle w:val="Date"/>
      </w:pP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Start condition_report script</w:t>
      </w:r>
      <w:r>
        <w:t xml:space="preserve">”</w:t>
      </w:r>
    </w:p>
    <w:bookmarkStart w:id="23" w:name="X4c038b33fa903a1d310d2ce814c2c53a3ef4218"/>
    <w:p>
      <w:pPr>
        <w:pStyle w:val="Heading1"/>
      </w:pPr>
      <w:r>
        <w:t xml:space="preserve">Summary of water levels and level changes</w:t>
      </w:r>
    </w:p>
    <w:p>
      <w:pPr>
        <w:pStyle w:val="FirstParagraph"/>
      </w:pPr>
      <w:r>
        <w:t xml:space="preserve">Level data is pulled from</w:t>
      </w:r>
      <w:r>
        <w:t xml:space="preserve"> </w:t>
      </w:r>
      <w:hyperlink r:id="rId20">
        <w:r>
          <w:rPr>
            <w:rStyle w:val="Hyperlink"/>
          </w:rPr>
          <w:t xml:space="preserve">historical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real-time</w:t>
        </w:r>
      </w:hyperlink>
      <w:r>
        <w:t xml:space="preserve"> </w:t>
      </w:r>
      <w:r>
        <w:t xml:space="preserve">hydrometric data published by Water Survey of Canada.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96"/>
        <w:gridCol w:w="706"/>
        <w:gridCol w:w="818"/>
        <w:gridCol w:w="966"/>
        <w:gridCol w:w="706"/>
        <w:gridCol w:w="706"/>
        <w:gridCol w:w="706"/>
        <w:gridCol w:w="855"/>
        <w:gridCol w:w="5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Station name (number)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Current level (m)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Current level (masl)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Current percent historic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hr change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hr change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hr change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Current return period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Last data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Keele River Above Twitya River (</w:t>
            </w:r>
            <w:hyperlink r:id="rId22">
              <w:r>
                <w:rPr>
                  <w:rStyle w:val="Hyperlink"/>
                </w:rPr>
                <w:t xml:space="preserve">10HA004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Nordenskiold River Below Rowlinson Creek (</w:t>
            </w:r>
            <w:hyperlink r:id="rId22">
              <w:r>
                <w:rPr>
                  <w:rStyle w:val="Hyperlink"/>
                </w:rPr>
                <w:t xml:space="preserve">09AH004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Klondike River Above Bonanza Creek (</w:t>
            </w:r>
            <w:hyperlink r:id="rId22">
              <w:r>
                <w:rPr>
                  <w:rStyle w:val="Hyperlink"/>
                </w:rPr>
                <w:t xml:space="preserve">09EA003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Yukon River At Dawson (</w:t>
            </w:r>
            <w:hyperlink r:id="rId22">
              <w:r>
                <w:rPr>
                  <w:rStyle w:val="Hyperlink"/>
                </w:rPr>
                <w:t xml:space="preserve">09EB001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Stewart River Near Mayo (</w:t>
            </w:r>
            <w:hyperlink r:id="rId22">
              <w:r>
                <w:rPr>
                  <w:rStyle w:val="Hyperlink"/>
                </w:rPr>
                <w:t xml:space="preserve">09DC006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</w:p>
    <w:bookmarkEnd w:id="23"/>
    <w:bookmarkStart w:id="24" w:name="summary-of-flows-and-flow-changes-in-m3s"/>
    <w:p>
      <w:pPr>
        <w:pStyle w:val="Heading1"/>
      </w:pPr>
      <w:r>
        <w:t xml:space="preserve">Summary of flows and flow changes in m</w:t>
      </w:r>
      <w:r>
        <w:rPr>
          <w:vertAlign w:val="superscript"/>
        </w:rPr>
        <w:t xml:space="preserve">3</w:t>
      </w:r>
      <w:r>
        <w:t xml:space="preserve">/s</w:t>
      </w:r>
    </w:p>
    <w:p>
      <w:pPr>
        <w:pStyle w:val="FirstParagraph"/>
      </w:pPr>
      <w:r>
        <w:t xml:space="preserve">Flow data is pulled from</w:t>
      </w:r>
      <w:r>
        <w:t xml:space="preserve"> </w:t>
      </w:r>
      <w:hyperlink r:id="rId20">
        <w:r>
          <w:rPr>
            <w:rStyle w:val="Hyperlink"/>
          </w:rPr>
          <w:t xml:space="preserve">historical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real-time</w:t>
        </w:r>
      </w:hyperlink>
      <w:r>
        <w:t xml:space="preserve"> </w:t>
      </w:r>
      <w:r>
        <w:t xml:space="preserve">hydrometric data published by Water Survey of Canada.</w:t>
      </w:r>
    </w:p>
    <w:p>
      <w:pPr>
        <w:pStyle w:val="BodyText"/>
      </w:pPr>
    </w:p>
    <w:p>
      <w:r>
        <w:br w:type="page"/>
      </w:r>
    </w:p>
    <w:bookmarkEnd w:id="24"/>
    <w:bookmarkStart w:id="27" w:name="X5ba5f1cb0556f64b29bac91c3902ae8f73f2914"/>
    <w:p>
      <w:pPr>
        <w:pStyle w:val="Heading1"/>
      </w:pPr>
      <w:r>
        <w:t xml:space="preserve">Keele River Above Twitya River (station 10HA004 )</w:t>
      </w:r>
    </w:p>
    <w:bookmarkStart w:id="25" w:name="level"/>
    <w:p>
      <w:pPr>
        <w:pStyle w:val="Heading3"/>
      </w:pPr>
      <w:r>
        <w:t xml:space="preserve">Level</w:t>
      </w:r>
    </w:p>
    <w:bookmarkEnd w:id="25"/>
    <w:bookmarkStart w:id="26" w:name="flow"/>
    <w:p>
      <w:pPr>
        <w:pStyle w:val="Heading3"/>
      </w:pPr>
      <w:r>
        <w:t xml:space="preserve">Flow</w:t>
      </w:r>
    </w:p>
    <w:p>
      <w:pPr>
        <w:pStyle w:val="FirstParagraph"/>
      </w:pPr>
      <w:r>
        <w:t xml:space="preserve">Station 10HA004 does not appear to have real-time flow (discharge) data right now.</w:t>
      </w:r>
    </w:p>
    <w:p>
      <w:r>
        <w:br w:type="page"/>
      </w:r>
    </w:p>
    <w:bookmarkEnd w:id="26"/>
    <w:bookmarkEnd w:id="27"/>
    <w:bookmarkStart w:id="30" w:name="X8f8fad7e0bd1080fab2472f0e2c56fe48809431"/>
    <w:p>
      <w:pPr>
        <w:pStyle w:val="Heading1"/>
      </w:pPr>
      <w:r>
        <w:t xml:space="preserve">Nordenskiold River Below Rowlinson Creek (station 09AH004 )</w:t>
      </w:r>
    </w:p>
    <w:bookmarkStart w:id="28" w:name="level-1"/>
    <w:p>
      <w:pPr>
        <w:pStyle w:val="Heading3"/>
      </w:pPr>
      <w:r>
        <w:t xml:space="preserve">Level</w:t>
      </w:r>
    </w:p>
    <w:bookmarkEnd w:id="28"/>
    <w:bookmarkStart w:id="29" w:name="flow-1"/>
    <w:p>
      <w:pPr>
        <w:pStyle w:val="Heading3"/>
      </w:pPr>
      <w:r>
        <w:t xml:space="preserve">Flow</w:t>
      </w:r>
    </w:p>
    <w:p>
      <w:pPr>
        <w:pStyle w:val="FirstParagraph"/>
      </w:pPr>
      <w:r>
        <w:t xml:space="preserve">Station 09AH004 does not appear to have real-time flow (discharge) data right now.</w:t>
      </w:r>
    </w:p>
    <w:p>
      <w:r>
        <w:br w:type="page"/>
      </w:r>
    </w:p>
    <w:bookmarkEnd w:id="29"/>
    <w:bookmarkEnd w:id="30"/>
    <w:bookmarkStart w:id="33" w:name="Xf29afb4fa1479b88757759e6c197a2469001568"/>
    <w:p>
      <w:pPr>
        <w:pStyle w:val="Heading1"/>
      </w:pPr>
      <w:r>
        <w:t xml:space="preserve">Klondike River Above Bonanza Creek (station 09EA003 )</w:t>
      </w:r>
    </w:p>
    <w:bookmarkStart w:id="31" w:name="level-2"/>
    <w:p>
      <w:pPr>
        <w:pStyle w:val="Heading3"/>
      </w:pPr>
      <w:r>
        <w:t xml:space="preserve">Level</w:t>
      </w:r>
    </w:p>
    <w:bookmarkEnd w:id="31"/>
    <w:bookmarkStart w:id="32" w:name="flow-2"/>
    <w:p>
      <w:pPr>
        <w:pStyle w:val="Heading3"/>
      </w:pPr>
      <w:r>
        <w:t xml:space="preserve">Flow</w:t>
      </w:r>
    </w:p>
    <w:p>
      <w:pPr>
        <w:pStyle w:val="FirstParagraph"/>
      </w:pPr>
      <w:r>
        <w:t xml:space="preserve">Station 09EA003 does not appear to have real-time flow (discharge) data right now.</w:t>
      </w:r>
    </w:p>
    <w:p>
      <w:r>
        <w:br w:type="page"/>
      </w:r>
    </w:p>
    <w:bookmarkEnd w:id="32"/>
    <w:bookmarkEnd w:id="33"/>
    <w:bookmarkStart w:id="36" w:name="yukon-river-at-dawson-station-09eb001"/>
    <w:p>
      <w:pPr>
        <w:pStyle w:val="Heading1"/>
      </w:pPr>
      <w:r>
        <w:t xml:space="preserve">Yukon River At Dawson (station 09EB001 )</w:t>
      </w:r>
    </w:p>
    <w:bookmarkStart w:id="34" w:name="level-3"/>
    <w:p>
      <w:pPr>
        <w:pStyle w:val="Heading3"/>
      </w:pPr>
      <w:r>
        <w:t xml:space="preserve">Level</w:t>
      </w:r>
    </w:p>
    <w:bookmarkEnd w:id="34"/>
    <w:bookmarkStart w:id="35" w:name="flow-3"/>
    <w:p>
      <w:pPr>
        <w:pStyle w:val="Heading3"/>
      </w:pPr>
      <w:r>
        <w:t xml:space="preserve">Flow</w:t>
      </w:r>
    </w:p>
    <w:p>
      <w:pPr>
        <w:pStyle w:val="FirstParagraph"/>
      </w:pPr>
      <w:r>
        <w:t xml:space="preserve">Station 09EB001 does not appear to have real-time flow (discharge) data right now.</w:t>
      </w:r>
    </w:p>
    <w:p>
      <w:r>
        <w:br w:type="page"/>
      </w:r>
    </w:p>
    <w:bookmarkEnd w:id="35"/>
    <w:bookmarkEnd w:id="36"/>
    <w:bookmarkStart w:id="39" w:name="stewart-river-near-mayo-station-09dc006"/>
    <w:p>
      <w:pPr>
        <w:pStyle w:val="Heading1"/>
      </w:pPr>
      <w:r>
        <w:t xml:space="preserve">Stewart River Near Mayo (station 09DC006 )</w:t>
      </w:r>
    </w:p>
    <w:bookmarkStart w:id="37" w:name="level-4"/>
    <w:p>
      <w:pPr>
        <w:pStyle w:val="Heading3"/>
      </w:pPr>
      <w:r>
        <w:t xml:space="preserve">Level</w:t>
      </w:r>
    </w:p>
    <w:bookmarkEnd w:id="37"/>
    <w:bookmarkStart w:id="38" w:name="flow-4"/>
    <w:p>
      <w:pPr>
        <w:pStyle w:val="Heading3"/>
      </w:pPr>
      <w:r>
        <w:t xml:space="preserve">Flow</w:t>
      </w:r>
    </w:p>
    <w:p>
      <w:pPr>
        <w:pStyle w:val="FirstParagraph"/>
      </w:pPr>
      <w:r>
        <w:t xml:space="preserve">Station 09DC006 does not appear to have real-time flow (discharge) data right now.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logr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log_close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Log is not open.</w:t>
      </w:r>
    </w:p>
    <w:bookmarkEnd w:id="38"/>
    <w:bookmarkEnd w:id="39"/>
    <w:sectPr w:rsidR="004D5C0C" w:rsidRPr="004D5C0C" w:rsidSect="005436A8">
      <w:footerReference r:id="rId10" w:type="default"/>
      <w:headerReference r:id="rId9" w:type="first"/>
      <w:pgSz w:h="15840" w:w="12240"/>
      <w:pgMar w:bottom="720" w:footer="708" w:gutter="0" w:header="708" w:left="720" w:right="720" w:top="48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146B61A4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768D9F06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3" name="Picture 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6A9DA500" w14:textId="71829ABD" w:rsidR="004D5C0C" w:rsidRDefault="005436A8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 xml:space="preserve">  Area Team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6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7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160" w:left="2520"/>
      </w:pPr>
      <w:rPr>
        <w:rFonts w:hint="default"/>
      </w:rPr>
    </w:lvl>
  </w:abstractNum>
  <w:abstractNum w15:restartNumberingAfterBreak="0" w:abstractNumId="11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15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hanging="720" w:left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5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8280"/>
      </w:pPr>
      <w:rPr>
        <w:rFonts w:hint="default"/>
      </w:rPr>
    </w:lvl>
  </w:abstractNum>
  <w:abstractNum w15:restartNumberingAfterBreak="0" w:abstractNumId="23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25">
    <w:nsid w:val="62BC04E5"/>
    <w:multiLevelType w:val="hybridMultilevel"/>
    <w:tmpl w:val="91784A18"/>
    <w:lvl w:ilvl="0" w:tplc="FCD8AB92"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27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1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2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  <w:bCs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548177" w:numId="1">
    <w:abstractNumId w:val="25"/>
  </w:num>
  <w:num w16cid:durableId="1695225531" w:numId="2">
    <w:abstractNumId w:val="24"/>
  </w:num>
  <w:num w16cid:durableId="997073500" w:numId="3">
    <w:abstractNumId w:val="7"/>
  </w:num>
  <w:num w16cid:durableId="1840583487" w:numId="4">
    <w:abstractNumId w:val="6"/>
  </w:num>
  <w:num w16cid:durableId="1620796290" w:numId="5">
    <w:abstractNumId w:val="13"/>
  </w:num>
  <w:num w16cid:durableId="600066501" w:numId="6">
    <w:abstractNumId w:val="10"/>
  </w:num>
  <w:num w16cid:durableId="891231426" w:numId="7">
    <w:abstractNumId w:val="17"/>
  </w:num>
  <w:num w16cid:durableId="857276488" w:numId="8">
    <w:abstractNumId w:val="3"/>
  </w:num>
  <w:num w16cid:durableId="1019241098" w:numId="9">
    <w:abstractNumId w:val="27"/>
  </w:num>
  <w:num w16cid:durableId="1338776922" w:numId="10">
    <w:abstractNumId w:val="9"/>
  </w:num>
  <w:num w16cid:durableId="75136456" w:numId="11">
    <w:abstractNumId w:val="22"/>
  </w:num>
  <w:num w16cid:durableId="1913808400" w:numId="12">
    <w:abstractNumId w:val="30"/>
  </w:num>
  <w:num w16cid:durableId="2115634341" w:numId="13">
    <w:abstractNumId w:val="16"/>
  </w:num>
  <w:num w16cid:durableId="1645310945" w:numId="14">
    <w:abstractNumId w:val="32"/>
  </w:num>
  <w:num w16cid:durableId="848836033" w:numId="15">
    <w:abstractNumId w:val="21"/>
  </w:num>
  <w:num w16cid:durableId="875239681" w:numId="16">
    <w:abstractNumId w:val="29"/>
  </w:num>
  <w:num w16cid:durableId="301010043" w:numId="17">
    <w:abstractNumId w:val="1"/>
  </w:num>
  <w:num w16cid:durableId="937761044" w:numId="18">
    <w:abstractNumId w:val="2"/>
  </w:num>
  <w:num w16cid:durableId="174804596" w:numId="19">
    <w:abstractNumId w:val="20"/>
  </w:num>
  <w:num w16cid:durableId="1794014226" w:numId="20">
    <w:abstractNumId w:val="33"/>
  </w:num>
  <w:num w16cid:durableId="988630758" w:numId="21">
    <w:abstractNumId w:val="23"/>
  </w:num>
  <w:num w16cid:durableId="543103932" w:numId="22">
    <w:abstractNumId w:val="5"/>
  </w:num>
  <w:num w16cid:durableId="699551328" w:numId="23">
    <w:abstractNumId w:val="26"/>
  </w:num>
  <w:num w16cid:durableId="1951282792" w:numId="24">
    <w:abstractNumId w:val="28"/>
  </w:num>
  <w:num w16cid:durableId="26807015"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7554278" w:numId="26">
    <w:abstractNumId w:val="30"/>
  </w:num>
  <w:num w16cid:durableId="501239547"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78534309"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6179676" w:numId="29">
    <w:abstractNumId w:val="11"/>
  </w:num>
  <w:num w16cid:durableId="1049720502" w:numId="30">
    <w:abstractNumId w:val="31"/>
  </w:num>
  <w:num w16cid:durableId="381833023" w:numId="31">
    <w:abstractNumId w:val="14"/>
  </w:num>
  <w:num w16cid:durableId="1209730248" w:numId="32">
    <w:abstractNumId w:val="19"/>
  </w:num>
  <w:num w16cid:durableId="197207486" w:numId="33">
    <w:abstractNumId w:val="15"/>
  </w:num>
  <w:num w16cid:durableId="291911077" w:numId="34">
    <w:abstractNumId w:val="0"/>
  </w:num>
  <w:num w16cid:durableId="1897937006" w:numId="35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065F0"/>
    <w:pPr>
      <w:spacing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after="0" w:before="40"/>
      <w:ind w:left="720"/>
      <w:outlineLvl w:val="2"/>
    </w:pPr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B384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804A0"/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ListParagraph" w:type="paragraph">
    <w:name w:val="List Paragraph"/>
    <w:basedOn w:val="Normal"/>
    <w:uiPriority w:val="34"/>
    <w:qFormat/>
    <w:rsid w:val="003E02E9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3E02E9"/>
    <w:rPr>
      <w:color w:themeColor="hyperlink" w:val="0097A9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FC6A72"/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Caption" w:type="paragraph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themeColor="text2" w:val="3F3F3F"/>
      <w:sz w:val="18"/>
      <w:szCs w:val="18"/>
    </w:rPr>
  </w:style>
  <w:style w:customStyle="1" w:styleId="Heading3Char" w:type="character">
    <w:name w:val="Heading 3 Char"/>
    <w:basedOn w:val="DefaultParagraphFont"/>
    <w:link w:val="Heading3"/>
    <w:uiPriority w:val="9"/>
    <w:rsid w:val="004F2CF5"/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763A"/>
    <w:rPr>
      <w:rFonts w:ascii="Segoe UI" w:cs="Segoe UI" w:hAnsi="Segoe UI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styleId="Header" w:type="paragraph">
    <w:name w:val="header"/>
    <w:basedOn w:val="Normal"/>
    <w:link w:val="Head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7519E5"/>
  </w:style>
  <w:style w:styleId="Footer" w:type="paragraph">
    <w:name w:val="footer"/>
    <w:basedOn w:val="Normal"/>
    <w:link w:val="Foot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7519E5"/>
  </w:style>
  <w:style w:styleId="Title" w:type="paragraph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customStyle="1" w:styleId="TitleChar" w:type="character">
    <w:name w:val="Title Char"/>
    <w:basedOn w:val="DefaultParagraphFont"/>
    <w:link w:val="Title"/>
    <w:uiPriority w:val="10"/>
    <w:rsid w:val="0094437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TableGrid" w:type="table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type="nil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FollowedHyperlink" w:type="character">
    <w:name w:val="FollowedHyperlink"/>
    <w:basedOn w:val="DefaultParagraphFont"/>
    <w:uiPriority w:val="99"/>
    <w:semiHidden/>
    <w:unhideWhenUsed/>
    <w:rsid w:val="005F3A50"/>
    <w:rPr>
      <w:color w:themeColor="followedHyperlink" w:val="512A44"/>
      <w:u w:val="single"/>
    </w:rPr>
  </w:style>
  <w:style w:styleId="ListBullet" w:type="paragraph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styleId="NoSpacing" w:type="paragraph">
    <w:name w:val="No Spacing"/>
    <w:uiPriority w:val="1"/>
    <w:qFormat/>
    <w:rsid w:val="00FC3CA4"/>
    <w:pPr>
      <w:spacing w:after="0" w:line="240" w:lineRule="auto"/>
    </w:pPr>
  </w:style>
  <w:style w:customStyle="1" w:styleId="Heading4Char" w:type="character">
    <w:name w:val="Heading 4 Char"/>
    <w:basedOn w:val="DefaultParagraphFont"/>
    <w:link w:val="Heading4"/>
    <w:uiPriority w:val="9"/>
    <w:rsid w:val="004F2CF5"/>
    <w:rPr>
      <w:rFonts w:asciiTheme="majorHAnsi" w:cstheme="majorBidi" w:eastAsiaTheme="majorEastAsia" w:hAnsiTheme="majorHAnsi"/>
      <w:i/>
      <w:iCs/>
      <w:color w:themeColor="accent1" w:themeShade="BF" w:val="1B3843"/>
    </w:rPr>
  </w:style>
  <w:style w:styleId="Subtitle" w:type="paragraph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themeColor="accent1" w:themeShade="BF" w:val="1B3843"/>
      <w:sz w:val="21"/>
    </w:rPr>
  </w:style>
  <w:style w:customStyle="1" w:styleId="SubtitleChar" w:type="characte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themeColor="accent1" w:themeShade="BF" w:val="1B3843"/>
      <w:sz w:val="21"/>
    </w:rPr>
  </w:style>
  <w:style w:styleId="TableGridLight" w:type="table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GridTable1Light" w:type="table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1C1D3" w:space="0" w:sz="4" w:themeColor="accent1" w:themeTint="66" w:val="single"/>
        <w:left w:color="91C1D3" w:space="0" w:sz="4" w:themeColor="accent1" w:themeTint="66" w:val="single"/>
        <w:bottom w:color="91C1D3" w:space="0" w:sz="4" w:themeColor="accent1" w:themeTint="66" w:val="single"/>
        <w:right w:color="91C1D3" w:space="0" w:sz="4" w:themeColor="accent1" w:themeTint="66" w:val="single"/>
        <w:insideH w:color="91C1D3" w:space="0" w:sz="4" w:themeColor="accent1" w:themeTint="66" w:val="single"/>
        <w:insideV w:color="91C1D3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5AA3BD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5AA3BD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" w:type="table">
    <w:name w:val="Table"/>
    <w:basedOn w:val="GridTable1Light"/>
    <w:uiPriority w:val="99"/>
    <w:rsid w:val="006F31FE"/>
    <w:pPr>
      <w:jc w:val="center"/>
    </w:pPr>
    <w:tblPr>
      <w:tblBorders>
        <w:top w:color="0097A9" w:space="0" w:sz="4" w:themeColor="accent2" w:val="single"/>
        <w:left w:color="0097A9" w:space="0" w:sz="4" w:themeColor="accent2" w:val="single"/>
        <w:bottom w:color="0097A9" w:space="0" w:sz="4" w:themeColor="accent2" w:val="single"/>
        <w:right w:color="0097A9" w:space="0" w:sz="4" w:themeColor="accent2" w:val="single"/>
        <w:insideH w:color="0097A9" w:space="0" w:sz="4" w:themeColor="accent2" w:val="single"/>
        <w:insideV w:color="0097A9" w:space="0" w:sz="4" w:themeColor="accent2" w:val="single"/>
      </w:tblBorders>
    </w:tblPr>
    <w:tcPr>
      <w:vAlign w:val="center"/>
    </w:tcPr>
    <w:tblStylePr w:type="firstRow">
      <w:pPr>
        <w:jc w:val="center"/>
      </w:pPr>
      <w:rPr>
        <w:b/>
        <w:bCs/>
        <w:color w:themeColor="background1" w:val="FFFFFF"/>
      </w:rPr>
      <w:tblPr/>
      <w:tcPr>
        <w:tcBorders>
          <w:bottom w:color="0097A9" w:space="0" w:sz="4" w:themeColor="accent2" w:val="single"/>
        </w:tcBorders>
        <w:shd w:color="auto" w:fill="0097A9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styleId="GridTable3" w:type="table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4-Accent2" w:type="table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color="32E8FF" w:space="0" w:sz="4" w:themeColor="accent2" w:themeTint="99" w:val="single"/>
        <w:left w:color="32E8FF" w:space="0" w:sz="4" w:themeColor="accent2" w:themeTint="99" w:val="single"/>
        <w:bottom w:color="32E8FF" w:space="0" w:sz="4" w:themeColor="accent2" w:themeTint="99" w:val="single"/>
        <w:right w:color="32E8FF" w:space="0" w:sz="4" w:themeColor="accent2" w:themeTint="99" w:val="single"/>
        <w:insideH w:color="32E8FF" w:space="0" w:sz="4" w:themeColor="accent2" w:themeTint="99" w:val="single"/>
        <w:insideV w:color="32E8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97A9" w:space="0" w:sz="4" w:themeColor="accent2" w:val="single"/>
          <w:left w:color="0097A9" w:space="0" w:sz="4" w:themeColor="accent2" w:val="single"/>
          <w:bottom w:color="0097A9" w:space="0" w:sz="4" w:themeColor="accent2" w:val="single"/>
          <w:right w:color="0097A9" w:space="0" w:sz="4" w:themeColor="accent2" w:val="single"/>
          <w:insideH w:val="nil"/>
          <w:insideV w:val="nil"/>
        </w:tcBorders>
        <w:shd w:color="auto" w:fill="0097A9" w:themeFill="accent2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F7FF" w:themeFill="accent2" w:themeFillTint="33" w:val="clear"/>
      </w:tcPr>
    </w:tblStylePr>
    <w:tblStylePr w:type="band1Horz">
      <w:tblPr/>
      <w:tcPr>
        <w:shd w:color="auto" w:fill="BAF7FF" w:themeFill="accent2" w:themeFillTint="33" w:val="clear"/>
      </w:tcPr>
    </w:tblStylePr>
  </w:style>
  <w:style w:styleId="ListTable3-Accent1" w:type="table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244C5A" w:space="0" w:sz="4" w:themeColor="accent1" w:val="single"/>
        <w:left w:color="244C5A" w:space="0" w:sz="4" w:themeColor="accent1" w:val="single"/>
        <w:bottom w:color="244C5A" w:space="0" w:sz="4" w:themeColor="accent1" w:val="single"/>
        <w:right w:color="244C5A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44C5A" w:themeFill="accent1" w:val="clear"/>
      </w:tcPr>
    </w:tblStylePr>
    <w:tblStylePr w:type="lastRow">
      <w:rPr>
        <w:b/>
        <w:bCs/>
      </w:rPr>
      <w:tblPr/>
      <w:tcPr>
        <w:tcBorders>
          <w:top w:color="244C5A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44C5A" w:space="0" w:sz="4" w:themeColor="accent1" w:val="single"/>
          <w:right w:color="244C5A" w:space="0" w:sz="4" w:themeColor="accent1" w:val="single"/>
        </w:tcBorders>
      </w:tcPr>
    </w:tblStylePr>
    <w:tblStylePr w:type="band1Horz">
      <w:tblPr/>
      <w:tcPr>
        <w:tcBorders>
          <w:top w:color="244C5A" w:space="0" w:sz="4" w:themeColor="accent1" w:val="single"/>
          <w:bottom w:color="244C5A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44C5A" w:space="0" w:sz="4" w:themeColor="accent1" w:val="double"/>
          <w:left w:val="nil"/>
        </w:tcBorders>
      </w:tcPr>
    </w:tblStylePr>
    <w:tblStylePr w:type="swCell">
      <w:tblPr/>
      <w:tcPr>
        <w:tcBorders>
          <w:top w:color="244C5A" w:space="0" w:sz="4" w:themeColor="accent1" w:val="double"/>
          <w:right w:val="nil"/>
        </w:tcBorders>
      </w:tcPr>
    </w:tblStylePr>
  </w:style>
  <w:style w:styleId="GridTable1Light-Accent2" w:type="table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76EFFF" w:space="0" w:sz="4" w:themeColor="accent2" w:themeTint="66" w:val="single"/>
        <w:left w:color="76EFFF" w:space="0" w:sz="4" w:themeColor="accent2" w:themeTint="66" w:val="single"/>
        <w:bottom w:color="76EFFF" w:space="0" w:sz="4" w:themeColor="accent2" w:themeTint="66" w:val="single"/>
        <w:right w:color="76EFFF" w:space="0" w:sz="4" w:themeColor="accent2" w:themeTint="66" w:val="single"/>
        <w:insideH w:color="76EFFF" w:space="0" w:sz="4" w:themeColor="accent2" w:themeTint="66" w:val="single"/>
        <w:insideV w:color="76EF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32E8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32E8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E0FE71" w:space="0" w:sz="4" w:themeColor="accent3" w:themeTint="66" w:val="single"/>
        <w:left w:color="E0FE71" w:space="0" w:sz="4" w:themeColor="accent3" w:themeTint="66" w:val="single"/>
        <w:bottom w:color="E0FE71" w:space="0" w:sz="4" w:themeColor="accent3" w:themeTint="66" w:val="single"/>
        <w:right w:color="E0FE71" w:space="0" w:sz="4" w:themeColor="accent3" w:themeTint="66" w:val="single"/>
        <w:insideH w:color="E0FE71" w:space="0" w:sz="4" w:themeColor="accent3" w:themeTint="66" w:val="single"/>
        <w:insideV w:color="E0FE71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D1FD2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D1FD2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wateroffice.ec.gc.ca/mainmenu/historical_data_index_e.html" TargetMode="External" /><Relationship Type="http://schemas.openxmlformats.org/officeDocument/2006/relationships/hyperlink" Id="rId21" Target="https://wateroffice.ec.gc.ca/mainmenu/real_time_data_index_e.html" TargetMode="External" /><Relationship Type="http://schemas.openxmlformats.org/officeDocument/2006/relationships/hyperlink" Id="rId22" Target="https://wateroffice.ec.gc.ca/report/real_time_e.html?stn=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teroffice.ec.gc.ca/mainmenu/historical_data_index_e.html" TargetMode="External" /><Relationship Type="http://schemas.openxmlformats.org/officeDocument/2006/relationships/hyperlink" Id="rId21" Target="https://wateroffice.ec.gc.ca/mainmenu/real_time_data_index_e.html" TargetMode="External" /><Relationship Type="http://schemas.openxmlformats.org/officeDocument/2006/relationships/hyperlink" Id="rId22" Target="https://wateroffice.ec.gc.ca/report/real_time_e.html?stn=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Yukon Conditions Report</dc:title>
  <dc:creator/>
  <cp:keywords/>
  <dcterms:created xsi:type="dcterms:W3CDTF">2024-07-11T17:55:27Z</dcterms:created>
  <dcterms:modified xsi:type="dcterms:W3CDTF">2024-07-11T17:55:27Z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July 11, 2024 at 10:00</vt:lpwstr>
  </property>
</Properties>
</file>