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180" w:line="300" w:lineRule="auto"/>
      </w:pPr>
      <w:r>
        <w:rPr>
          <w:b/>
          <w:color w:val="173A62"/>
          <w:sz w:val="38"/>
          <w:szCs w:val="38"/>
        </w:rPr>
        <w:t xml:space="preserve">Analisi GDPR dell’applicazione SMZ</w:t>
      </w:r>
    </w:p>
    <w:p>
      <w:pPr>
        <w:spacing w:before="0" w:after="280" w:line="300" w:lineRule="auto"/>
      </w:pPr>
      <w:r>
        <w:rPr>
          <w:color w:val="536273"/>
          <w:sz w:val="22"/>
          <w:szCs w:val="22"/>
        </w:rPr>
        <w:t xml:space="preserve">Valutazione tecnica e organizzativa preliminare</w:t>
      </w:r>
    </w:p>
    <w:p>
      <w:pPr>
        <w:spacing w:before="0" w:after="120" w:line="300" w:lineRule="auto"/>
      </w:pPr>
      <w:r>
        <w:rPr>
          <w:b/>
          <w:color w:val="1F2937"/>
          <w:sz w:val="22"/>
          <w:szCs w:val="22"/>
        </w:rPr>
        <w:t xml:space="preserve">Data dell’analisi: </w:t>
      </w:r>
      <w:r>
        <w:rPr>
          <w:color w:val="1F2937"/>
          <w:sz w:val="22"/>
          <w:szCs w:val="22"/>
        </w:rPr>
        <w:t xml:space="preserve">12 agosto 2026</w:t>
      </w:r>
    </w:p>
    <w:p>
      <w:pPr>
        <w:spacing w:before="0" w:after="120" w:line="300" w:lineRule="auto"/>
      </w:pPr>
      <w:r>
        <w:rPr>
          <w:b/>
          <w:color w:val="1F2937"/>
          <w:sz w:val="22"/>
          <w:szCs w:val="22"/>
        </w:rPr>
        <w:t xml:space="preserve">Ambito: </w:t>
      </w:r>
      <w:r>
        <w:rPr>
          <w:color w:val="1F2937"/>
          <w:sz w:val="22"/>
          <w:szCs w:val="22"/>
        </w:rPr>
        <w:t xml:space="preserve">codice sorgente e documentazione del progetto SMZ. Non è stato esaminato il database reale contenente i dati del personale.</w:t>
      </w:r>
    </w:p>
    <w:p>
      <w:pPr>
        <w:spacing w:before="0" w:after="120" w:line="300" w:lineRule="auto"/>
      </w:pPr>
      <w:r>
        <w:rPr>
          <w:b/>
          <w:color w:val="9A3412"/>
          <w:sz w:val="22"/>
          <w:szCs w:val="22"/>
        </w:rPr>
        <w:t xml:space="preserve">Avvertenza: </w:t>
      </w:r>
      <w:r>
        <w:rPr>
          <w:i/>
          <w:color w:val="1F2937"/>
          <w:sz w:val="22"/>
          <w:szCs w:val="22"/>
        </w:rPr>
        <w:t xml:space="preserve">questa è una valutazione tecnica preliminare e non sostituisce un parere legale, la valutazione dell’RPD/DPO o le determinazioni del titolare del trattamento.</w:t>
      </w:r>
    </w:p>
    <w:p>
      <w:pPr>
        <w:spacing w:before="320" w:after="140" w:line="300" w:lineRule="auto"/>
      </w:pPr>
      <w:r>
        <w:rPr>
          <w:b/>
          <w:color w:val="173A62"/>
          <w:sz w:val="30"/>
          <w:szCs w:val="30"/>
        </w:rPr>
        <w:t xml:space="preserve">1. Esito sintetico</w:t>
      </w:r>
    </w:p>
    <w:p>
      <w:pPr>
        <w:spacing w:before="0" w:after="120" w:line="300" w:lineRule="auto"/>
      </w:pPr>
      <w:r>
        <w:rPr>
          <w:color w:val="1F2937"/>
          <w:sz w:val="22"/>
          <w:szCs w:val="22"/>
        </w:rPr>
        <w:t xml:space="preserve">L’applicazione dispone di una buona base di sicurezza e presenta il vantaggio di funzionare localmente, senza trasmissione automatica dei dati a servizi esterni. Tuttavia, non dovrebbe ancora essere considerata pronta per il trattamento formale di dati reali in piena conformità GDPR senza interventi tecnici e organizzativi aggiuntivi.</w:t>
      </w:r>
    </w:p>
    <w:p>
      <w:pPr>
        <w:spacing w:before="0" w:after="120" w:line="300" w:lineRule="auto"/>
      </w:pPr>
      <w:r>
        <w:rPr>
          <w:color w:val="1F2937"/>
          <w:sz w:val="22"/>
          <w:szCs w:val="22"/>
        </w:rPr>
        <w:t xml:space="preserve">Le priorità principali sono la cifratura di database, backup ed esportazioni; una gestione più granulare delle autorizzazioni; il tracciamento delle operazioni; una politica di conservazione; la riduzione e separazione dei dati sanitari; e l’adozione della documentazione organizzativa richiesta.</w:t>
      </w:r>
    </w:p>
    <w:p>
      <w:pPr>
        <w:spacing w:before="0" w:after="120" w:line="300" w:lineRule="auto"/>
      </w:pPr>
      <w:r>
        <w:rPr>
          <w:color w:val="1F2937"/>
          <w:sz w:val="22"/>
          <w:szCs w:val="22"/>
        </w:rPr>
        <w:t xml:space="preserve">La conformità non dipende soltanto dal programma. Il titolare deve poter dimostrare basi giuridiche, finalità, informative, autorizzazioni, tempi di conservazione, misure di sicurezza, gestione dei diritti e procedura per le violazioni dei dati personali.</w:t>
      </w:r>
    </w:p>
    <w:p>
      <w:pPr>
        <w:spacing w:before="320" w:after="140" w:line="300" w:lineRule="auto"/>
      </w:pPr>
      <w:r>
        <w:rPr>
          <w:b/>
          <w:color w:val="173A62"/>
          <w:sz w:val="30"/>
          <w:szCs w:val="30"/>
        </w:rPr>
        <w:t xml:space="preserve">2. Dati personali trattati</w:t>
      </w:r>
    </w:p>
    <w:p>
      <w:pPr>
        <w:spacing w:before="0" w:after="120" w:line="300" w:lineRule="auto"/>
      </w:pPr>
      <w:r>
        <w:rPr>
          <w:color w:val="1F2937"/>
          <w:sz w:val="22"/>
          <w:szCs w:val="22"/>
        </w:rPr>
        <w:t xml:space="preserve">Dall’analisi del modello dati e delle funzioni dell’app risultano trattate le seguenti categorie:</w:t>
      </w:r>
    </w:p>
    <w:p>
      <w:pPr>
        <w:spacing w:before="0" w:after="120" w:line="300" w:lineRule="auto"/>
        <w:ind w:left="720" w:hanging="360"/>
      </w:pPr>
      <w:r>
        <w:rPr>
          <w:color w:val="1F2937"/>
          <w:sz w:val="22"/>
          <w:szCs w:val="22"/>
        </w:rPr>
        <w:t xml:space="preserve">•  dati identificativi: nome, cognome, codice fiscale e PerID</w:t>
      </w:r>
    </w:p>
    <w:p>
      <w:pPr>
        <w:spacing w:before="0" w:after="120" w:line="300" w:lineRule="auto"/>
        <w:ind w:left="720" w:hanging="360"/>
      </w:pPr>
      <w:r>
        <w:rPr>
          <w:color w:val="1F2937"/>
          <w:sz w:val="22"/>
          <w:szCs w:val="22"/>
        </w:rPr>
        <w:t xml:space="preserve">•  data e luogo di nascita</w:t>
      </w:r>
    </w:p>
    <w:p>
      <w:pPr>
        <w:spacing w:before="0" w:after="120" w:line="300" w:lineRule="auto"/>
        <w:ind w:left="720" w:hanging="360"/>
      </w:pPr>
      <w:r>
        <w:rPr>
          <w:color w:val="1F2937"/>
          <w:sz w:val="22"/>
          <w:szCs w:val="22"/>
        </w:rPr>
        <w:t xml:space="preserve">•  indirizzo di residenza, telefoni ed email</w:t>
      </w:r>
    </w:p>
    <w:p>
      <w:pPr>
        <w:spacing w:before="0" w:after="120" w:line="300" w:lineRule="auto"/>
        <w:ind w:left="720" w:hanging="360"/>
      </w:pPr>
      <w:r>
        <w:rPr>
          <w:color w:val="1F2937"/>
          <w:sz w:val="22"/>
          <w:szCs w:val="22"/>
        </w:rPr>
        <w:t xml:space="preserve">•  matricole, brevetti, qualifiche e abilitazioni</w:t>
      </w:r>
    </w:p>
    <w:p>
      <w:pPr>
        <w:spacing w:before="0" w:after="120" w:line="300" w:lineRule="auto"/>
        <w:ind w:left="720" w:hanging="360"/>
      </w:pPr>
      <w:r>
        <w:rPr>
          <w:color w:val="1F2937"/>
          <w:sz w:val="22"/>
          <w:szCs w:val="22"/>
        </w:rPr>
        <w:t xml:space="preserve">•  misure di attagliamento e relative note</w:t>
      </w:r>
    </w:p>
    <w:p>
      <w:pPr>
        <w:spacing w:before="0" w:after="120" w:line="300" w:lineRule="auto"/>
        <w:ind w:left="720" w:hanging="360"/>
      </w:pPr>
      <w:r>
        <w:rPr>
          <w:color w:val="1F2937"/>
          <w:sz w:val="22"/>
          <w:szCs w:val="22"/>
        </w:rPr>
        <w:t xml:space="preserve">•  servizi svolti, località, orari e attività operative</w:t>
      </w:r>
    </w:p>
    <w:p>
      <w:pPr>
        <w:spacing w:before="0" w:after="120" w:line="300" w:lineRule="auto"/>
        <w:ind w:left="720" w:hanging="360"/>
      </w:pPr>
      <w:r>
        <w:rPr>
          <w:color w:val="1F2937"/>
          <w:sz w:val="22"/>
          <w:szCs w:val="22"/>
        </w:rPr>
        <w:t xml:space="preserve">•  dati contabili, indennità e importi</w:t>
      </w:r>
    </w:p>
    <w:p>
      <w:pPr>
        <w:spacing w:before="0" w:after="120" w:line="300" w:lineRule="auto"/>
        <w:ind w:left="720" w:hanging="360"/>
      </w:pPr>
      <w:r>
        <w:rPr>
          <w:color w:val="1F2937"/>
          <w:sz w:val="22"/>
          <w:szCs w:val="22"/>
        </w:rPr>
        <w:t xml:space="preserve">•  visite mediche, scadenze, esiti e note</w:t>
      </w:r>
    </w:p>
    <w:p>
      <w:pPr>
        <w:spacing w:before="0" w:after="120" w:line="300" w:lineRule="auto"/>
        <w:ind w:left="720" w:hanging="360"/>
      </w:pPr>
      <w:r>
        <w:rPr>
          <w:color w:val="1F2937"/>
          <w:sz w:val="22"/>
          <w:szCs w:val="22"/>
        </w:rPr>
        <w:t xml:space="preserve">•  operatori esterni e supporti occasionali</w:t>
      </w:r>
    </w:p>
    <w:p>
      <w:pPr>
        <w:spacing w:before="0" w:after="120" w:line="300" w:lineRule="auto"/>
        <w:ind w:left="720" w:hanging="360"/>
      </w:pPr>
      <w:r>
        <w:rPr>
          <w:color w:val="1F2937"/>
          <w:sz w:val="22"/>
          <w:szCs w:val="22"/>
        </w:rPr>
        <w:t xml:space="preserve">•  credenziali, ruolo applicativo e ultimo accesso</w:t>
      </w:r>
    </w:p>
    <w:p>
      <w:pPr>
        <w:spacing w:before="0" w:after="120" w:line="300" w:lineRule="auto"/>
      </w:pPr>
      <w:r>
        <w:rPr>
          <w:color w:val="1F2937"/>
          <w:sz w:val="22"/>
          <w:szCs w:val="22"/>
        </w:rPr>
        <w:t xml:space="preserve">Le informazioni relative a visite mediche, esiti e note possono costituire dati relativi alla salute, ossia categorie particolari di dati ai sensi dell’articolo 9 GDPR. Devono quindi essere trattate su una specifica base giuridica e con garanzie rafforzate. Nel rapporto di lavoro il consenso del dipendente non è normalmente la base più appropriata, perché potrebbe non essere liberamente prestato.</w:t>
      </w:r>
    </w:p>
    <w:p>
      <w:pPr>
        <w:spacing w:before="320" w:after="140" w:line="300" w:lineRule="auto"/>
      </w:pPr>
      <w:r>
        <w:rPr>
          <w:b/>
          <w:color w:val="173A62"/>
          <w:sz w:val="30"/>
          <w:szCs w:val="30"/>
        </w:rPr>
        <w:t xml:space="preserve">3. Ambito normativo</w:t>
      </w:r>
    </w:p>
    <w:p>
      <w:pPr>
        <w:spacing w:before="0" w:after="120" w:line="300" w:lineRule="auto"/>
      </w:pPr>
      <w:r>
        <w:rPr>
          <w:color w:val="1F2937"/>
          <w:sz w:val="22"/>
          <w:szCs w:val="22"/>
        </w:rPr>
        <w:t xml:space="preserve">Per la gestione amministrativa del personale, delle idoneità, delle qualifiche, dei servizi e della contabilità si applica normalmente il Regolamento (UE) 2016/679, insieme al Codice privacy italiano e alla normativa di settore.</w:t>
      </w:r>
    </w:p>
    <w:p>
      <w:pPr>
        <w:spacing w:before="0" w:after="120" w:line="300" w:lineRule="auto"/>
      </w:pPr>
      <w:r>
        <w:rPr>
          <w:color w:val="1F2937"/>
          <w:sz w:val="22"/>
          <w:szCs w:val="22"/>
        </w:rPr>
        <w:t xml:space="preserve">Poiché l’utilizzatore sembra essere un reparto della Polizia, occorre distinguere le attività amministrative dalle eventuali finalità di prevenzione, indagine, accertamento o perseguimento di reati e di tutela della sicurezza pubblica. Per tali finalità può trovare applicazione il D.Lgs. 51/2018, attuativo della direttiva (UE) 2016/680. La qualificazione deve essere effettuata in base alla finalità concreta di ciascun trattamento e validata dall’RPD/DPO dell’amministrazione.</w:t>
      </w:r>
    </w:p>
    <w:p>
      <w:pPr>
        <w:spacing w:before="320" w:after="140" w:line="300" w:lineRule="auto"/>
      </w:pPr>
      <w:r>
        <w:rPr>
          <w:b/>
          <w:color w:val="173A62"/>
          <w:sz w:val="30"/>
          <w:szCs w:val="30"/>
        </w:rPr>
        <w:t xml:space="preserve">4. Misure positive già presenti</w:t>
      </w:r>
    </w:p>
    <w:p>
      <w:pPr>
        <w:spacing w:before="0" w:after="120" w:line="300" w:lineRule="auto"/>
        <w:ind w:left="720" w:hanging="360"/>
      </w:pPr>
      <w:r>
        <w:rPr>
          <w:color w:val="1F2937"/>
          <w:sz w:val="22"/>
          <w:szCs w:val="22"/>
        </w:rPr>
        <w:t xml:space="preserve">•  funzionamento locale e assenza di trasmissioni automatiche verso servizi esterni</w:t>
      </w:r>
    </w:p>
    <w:p>
      <w:pPr>
        <w:spacing w:before="0" w:after="120" w:line="300" w:lineRule="auto"/>
        <w:ind w:left="720" w:hanging="360"/>
      </w:pPr>
      <w:r>
        <w:rPr>
          <w:color w:val="1F2937"/>
          <w:sz w:val="22"/>
          <w:szCs w:val="22"/>
        </w:rPr>
        <w:t xml:space="preserve">•  identificativo individuale dell’utente basato sul PerID</w:t>
      </w:r>
    </w:p>
    <w:p>
      <w:pPr>
        <w:spacing w:before="0" w:after="120" w:line="300" w:lineRule="auto"/>
        <w:ind w:left="720" w:hanging="360"/>
      </w:pPr>
      <w:r>
        <w:rPr>
          <w:color w:val="1F2937"/>
          <w:sz w:val="22"/>
          <w:szCs w:val="22"/>
        </w:rPr>
        <w:t xml:space="preserve">•  password non salvate in chiaro, ma protette con PBKDF2-SHA256, salt casuale e 310.000 iterazioni</w:t>
      </w:r>
    </w:p>
    <w:p>
      <w:pPr>
        <w:spacing w:before="0" w:after="120" w:line="300" w:lineRule="auto"/>
        <w:ind w:left="720" w:hanging="360"/>
      </w:pPr>
      <w:r>
        <w:rPr>
          <w:color w:val="1F2937"/>
          <w:sz w:val="22"/>
          <w:szCs w:val="22"/>
        </w:rPr>
        <w:t xml:space="preserve">•  cambio obbligatorio della password temporanea</w:t>
      </w:r>
    </w:p>
    <w:p>
      <w:pPr>
        <w:spacing w:before="0" w:after="120" w:line="300" w:lineRule="auto"/>
        <w:ind w:left="720" w:hanging="360"/>
      </w:pPr>
      <w:r>
        <w:rPr>
          <w:color w:val="1F2937"/>
          <w:sz w:val="22"/>
          <w:szCs w:val="22"/>
        </w:rPr>
        <w:t xml:space="preserve">•  possibilità di sospendere gli account</w:t>
      </w:r>
    </w:p>
    <w:p>
      <w:pPr>
        <w:spacing w:before="0" w:after="120" w:line="300" w:lineRule="auto"/>
        <w:ind w:left="720" w:hanging="360"/>
      </w:pPr>
      <w:r>
        <w:rPr>
          <w:color w:val="1F2937"/>
          <w:sz w:val="22"/>
          <w:szCs w:val="22"/>
        </w:rPr>
        <w:t xml:space="preserve">•  ruoli Base e Amministratore</w:t>
      </w:r>
    </w:p>
    <w:p>
      <w:pPr>
        <w:spacing w:before="0" w:after="120" w:line="300" w:lineRule="auto"/>
        <w:ind w:left="720" w:hanging="360"/>
      </w:pPr>
      <w:r>
        <w:rPr>
          <w:color w:val="1F2937"/>
          <w:sz w:val="22"/>
          <w:szCs w:val="22"/>
        </w:rPr>
        <w:t xml:space="preserve">•  registrazione dell’ultimo accesso</w:t>
      </w:r>
    </w:p>
    <w:p>
      <w:pPr>
        <w:spacing w:before="0" w:after="120" w:line="300" w:lineRule="auto"/>
        <w:ind w:left="720" w:hanging="360"/>
      </w:pPr>
      <w:r>
        <w:rPr>
          <w:color w:val="1F2937"/>
          <w:sz w:val="22"/>
          <w:szCs w:val="22"/>
        </w:rPr>
        <w:t xml:space="preserve">•  conferme prima delle operazioni di eliminazione e ripristino</w:t>
      </w:r>
    </w:p>
    <w:p>
      <w:pPr>
        <w:spacing w:before="0" w:after="120" w:line="300" w:lineRule="auto"/>
        <w:ind w:left="720" w:hanging="360"/>
      </w:pPr>
      <w:r>
        <w:rPr>
          <w:color w:val="1F2937"/>
          <w:sz w:val="22"/>
          <w:szCs w:val="22"/>
        </w:rPr>
        <w:t xml:space="preserve">•  backup locali ed esterni e procedura di ripristino</w:t>
      </w:r>
    </w:p>
    <w:p>
      <w:pPr>
        <w:spacing w:before="0" w:after="120" w:line="300" w:lineRule="auto"/>
        <w:ind w:left="720" w:hanging="360"/>
      </w:pPr>
      <w:r>
        <w:rPr>
          <w:color w:val="1F2937"/>
          <w:sz w:val="22"/>
          <w:szCs w:val="22"/>
        </w:rPr>
        <w:t xml:space="preserve">•  copia coerente del database SQLite durante il backup</w:t>
      </w:r>
    </w:p>
    <w:p>
      <w:pPr>
        <w:spacing w:before="0" w:after="120" w:line="300" w:lineRule="auto"/>
        <w:ind w:left="720" w:hanging="360"/>
      </w:pPr>
      <w:r>
        <w:rPr>
          <w:color w:val="1F2937"/>
          <w:sz w:val="22"/>
          <w:szCs w:val="22"/>
        </w:rPr>
        <w:t xml:space="preserve">•  limite massimo di 20 backup locali e 30 backup esterni</w:t>
      </w:r>
    </w:p>
    <w:p>
      <w:pPr>
        <w:spacing w:before="0" w:after="120" w:line="300" w:lineRule="auto"/>
        <w:ind w:left="720" w:hanging="360"/>
      </w:pPr>
      <w:r>
        <w:rPr>
          <w:color w:val="1F2937"/>
          <w:sz w:val="22"/>
          <w:szCs w:val="22"/>
        </w:rPr>
        <w:t xml:space="preserve">•  test automatici su database, salvataggio, servizi, accessi e ruoli</w:t>
      </w:r>
    </w:p>
    <w:p>
      <w:pPr>
        <w:spacing w:before="0" w:after="120" w:line="300" w:lineRule="auto"/>
      </w:pPr>
      <w:r>
        <w:rPr>
          <w:color w:val="1F2937"/>
          <w:sz w:val="22"/>
          <w:szCs w:val="22"/>
        </w:rPr>
        <w:t xml:space="preserve">Queste misure contribuiscono a riservatezza, integrità e disponibilità, ma devono essere integrate e documentate in funzione del rischio concreto.</w:t>
      </w:r>
    </w:p>
    <w:p>
      <w:pPr>
        <w:spacing w:before="320" w:after="140" w:line="300" w:lineRule="auto"/>
      </w:pPr>
      <w:r>
        <w:rPr>
          <w:b/>
          <w:color w:val="173A62"/>
          <w:sz w:val="30"/>
          <w:szCs w:val="30"/>
        </w:rPr>
        <w:t xml:space="preserve">5. Gap analysis</w:t>
      </w:r>
    </w:p>
    <w:tbl>
      <w:tblPr>
        <w:tblW w:w="0" w:type="auto"/>
        <w:tblBorders>
          <w:top w:val="single" w:sz="4" w:color="AFC3D4"/>
          <w:left w:val="single" w:sz="4" w:color="AFC3D4"/>
          <w:bottom w:val="single" w:sz="4" w:color="AFC3D4"/>
          <w:right w:val="single" w:sz="4" w:color="AFC3D4"/>
          <w:insideH w:val="single" w:sz="4" w:color="D5E0E8"/>
          <w:insideV w:val="single" w:sz="4" w:color="D5E0E8"/>
        </w:tblBorders>
      </w:tblPr>
      <w:tblGrid>
        <w:gridCol w:w="1850"/>
        <w:gridCol w:w="5250"/>
        <w:gridCol w:w="1500"/>
      </w:tblGrid>
      <w:tr>
        <w:tc>
          <w:tcPr>
            <w:tcW w:w="1850" w:type="dxa"/>
            <w:shd w:fill="DCEAF4"/>
            <w:tcMar>
              <w:top w:w="90" w:type="dxa"/>
              <w:left w:w="100" w:type="dxa"/>
              <w:bottom w:w="90" w:type="dxa"/>
              <w:right w:w="100" w:type="dxa"/>
            </w:tcMar>
          </w:tcPr>
          <w:p>
            <w:pPr>
              <w:spacing w:after="0" w:line="260" w:lineRule="auto"/>
            </w:pPr>
            <w:r>
              <w:rPr>
                <w:b/>
                <w:color w:val="173A62"/>
                <w:sz w:val="19"/>
                <w:szCs w:val="19"/>
              </w:rPr>
              <w:t xml:space="preserve">Area</w:t>
            </w:r>
          </w:p>
        </w:tc>
        <w:tc>
          <w:tcPr>
            <w:tcW w:w="5250" w:type="dxa"/>
            <w:shd w:fill="DCEAF4"/>
            <w:tcMar>
              <w:top w:w="90" w:type="dxa"/>
              <w:left w:w="100" w:type="dxa"/>
              <w:bottom w:w="90" w:type="dxa"/>
              <w:right w:w="100" w:type="dxa"/>
            </w:tcMar>
          </w:tcPr>
          <w:p>
            <w:pPr>
              <w:spacing w:after="0" w:line="260" w:lineRule="auto"/>
            </w:pPr>
            <w:r>
              <w:rPr>
                <w:b/>
                <w:color w:val="173A62"/>
                <w:sz w:val="19"/>
                <w:szCs w:val="19"/>
              </w:rPr>
              <w:t xml:space="preserve">Situazione rilevata</w:t>
            </w:r>
          </w:p>
        </w:tc>
        <w:tc>
          <w:tcPr>
            <w:tcW w:w="1500" w:type="dxa"/>
            <w:shd w:fill="DCEAF4"/>
            <w:tcMar>
              <w:top w:w="90" w:type="dxa"/>
              <w:left w:w="100" w:type="dxa"/>
              <w:bottom w:w="90" w:type="dxa"/>
              <w:right w:w="100" w:type="dxa"/>
            </w:tcMar>
          </w:tcPr>
          <w:p>
            <w:pPr>
              <w:spacing w:after="0" w:line="260" w:lineRule="auto"/>
            </w:pPr>
            <w:r>
              <w:rPr>
                <w:b/>
                <w:color w:val="173A62"/>
                <w:sz w:val="19"/>
                <w:szCs w:val="19"/>
              </w:rPr>
              <w:t xml:space="preserve">Priorità</w:t>
            </w:r>
          </w:p>
        </w:tc>
      </w:tr>
      <w:tr>
        <w:tc>
          <w:tcPr>
            <w:tcW w:w="1850" w:type="dxa"/>
            <w:shd w:fill="FFFFFF"/>
            <w:tcMar>
              <w:top w:w="90" w:type="dxa"/>
              <w:left w:w="100" w:type="dxa"/>
              <w:bottom w:w="90" w:type="dxa"/>
              <w:right w:w="100" w:type="dxa"/>
            </w:tcMar>
          </w:tcPr>
          <w:p>
            <w:pPr>
              <w:spacing w:after="0" w:line="260" w:lineRule="auto"/>
            </w:pPr>
            <w:r>
              <w:rPr>
                <w:color w:val="1F2937"/>
                <w:sz w:val="19"/>
                <w:szCs w:val="19"/>
              </w:rPr>
              <w:t xml:space="preserve">Cifratura</w:t>
            </w:r>
          </w:p>
        </w:tc>
        <w:tc>
          <w:tcPr>
            <w:tcW w:w="5250" w:type="dxa"/>
            <w:shd w:fill="FFFFFF"/>
            <w:tcMar>
              <w:top w:w="90" w:type="dxa"/>
              <w:left w:w="100" w:type="dxa"/>
              <w:bottom w:w="90" w:type="dxa"/>
              <w:right w:w="100" w:type="dxa"/>
            </w:tcMar>
          </w:tcPr>
          <w:p>
            <w:pPr>
              <w:spacing w:after="0" w:line="260" w:lineRule="auto"/>
            </w:pPr>
            <w:r>
              <w:rPr>
                <w:color w:val="1F2937"/>
                <w:sz w:val="19"/>
                <w:szCs w:val="19"/>
              </w:rPr>
              <w:t xml:space="preserve">Database SQLite non cifrato</w:t>
            </w:r>
          </w:p>
        </w:tc>
        <w:tc>
          <w:tcPr>
            <w:tcW w:w="1500" w:type="dxa"/>
            <w:shd w:fill="FFFFFF"/>
            <w:tcMar>
              <w:top w:w="90" w:type="dxa"/>
              <w:left w:w="100" w:type="dxa"/>
              <w:bottom w:w="90" w:type="dxa"/>
              <w:right w:w="100" w:type="dxa"/>
            </w:tcMar>
          </w:tcPr>
          <w:p>
            <w:pPr>
              <w:spacing w:after="0" w:line="260" w:lineRule="auto"/>
            </w:pPr>
            <w:r>
              <w:rPr>
                <w:color w:val="1F2937"/>
                <w:sz w:val="19"/>
                <w:szCs w:val="19"/>
              </w:rPr>
              <w:t xml:space="preserve">Alta</w:t>
            </w:r>
          </w:p>
        </w:tc>
      </w:tr>
      <w:tr>
        <w:tc>
          <w:tcPr>
            <w:tcW w:w="1850" w:type="dxa"/>
            <w:shd w:fill="F7FAFC"/>
            <w:tcMar>
              <w:top w:w="90" w:type="dxa"/>
              <w:left w:w="100" w:type="dxa"/>
              <w:bottom w:w="90" w:type="dxa"/>
              <w:right w:w="100" w:type="dxa"/>
            </w:tcMar>
          </w:tcPr>
          <w:p>
            <w:pPr>
              <w:spacing w:after="0" w:line="260" w:lineRule="auto"/>
            </w:pPr>
            <w:r>
              <w:rPr>
                <w:color w:val="1F2937"/>
                <w:sz w:val="19"/>
                <w:szCs w:val="19"/>
              </w:rPr>
              <w:t xml:space="preserve">Backup</w:t>
            </w:r>
          </w:p>
        </w:tc>
        <w:tc>
          <w:tcPr>
            <w:tcW w:w="5250" w:type="dxa"/>
            <w:shd w:fill="F7FAFC"/>
            <w:tcMar>
              <w:top w:w="90" w:type="dxa"/>
              <w:left w:w="100" w:type="dxa"/>
              <w:bottom w:w="90" w:type="dxa"/>
              <w:right w:w="100" w:type="dxa"/>
            </w:tcMar>
          </w:tcPr>
          <w:p>
            <w:pPr>
              <w:spacing w:after="0" w:line="260" w:lineRule="auto"/>
            </w:pPr>
            <w:r>
              <w:rPr>
                <w:color w:val="1F2937"/>
                <w:sz w:val="19"/>
                <w:szCs w:val="19"/>
              </w:rPr>
              <w:t xml:space="preserve">File .smzbak compressi ma non cifrati</w:t>
            </w:r>
          </w:p>
        </w:tc>
        <w:tc>
          <w:tcPr>
            <w:tcW w:w="1500" w:type="dxa"/>
            <w:shd w:fill="F7FAFC"/>
            <w:tcMar>
              <w:top w:w="90" w:type="dxa"/>
              <w:left w:w="100" w:type="dxa"/>
              <w:bottom w:w="90" w:type="dxa"/>
              <w:right w:w="100" w:type="dxa"/>
            </w:tcMar>
          </w:tcPr>
          <w:p>
            <w:pPr>
              <w:spacing w:after="0" w:line="260" w:lineRule="auto"/>
            </w:pPr>
            <w:r>
              <w:rPr>
                <w:color w:val="1F2937"/>
                <w:sz w:val="19"/>
                <w:szCs w:val="19"/>
              </w:rPr>
              <w:t xml:space="preserve">Alta</w:t>
            </w:r>
          </w:p>
        </w:tc>
      </w:tr>
      <w:tr>
        <w:tc>
          <w:tcPr>
            <w:tcW w:w="1850" w:type="dxa"/>
            <w:shd w:fill="FFFFFF"/>
            <w:tcMar>
              <w:top w:w="90" w:type="dxa"/>
              <w:left w:w="100" w:type="dxa"/>
              <w:bottom w:w="90" w:type="dxa"/>
              <w:right w:w="100" w:type="dxa"/>
            </w:tcMar>
          </w:tcPr>
          <w:p>
            <w:pPr>
              <w:spacing w:after="0" w:line="260" w:lineRule="auto"/>
            </w:pPr>
            <w:r>
              <w:rPr>
                <w:color w:val="1F2937"/>
                <w:sz w:val="19"/>
                <w:szCs w:val="19"/>
              </w:rPr>
              <w:t xml:space="preserve">Esportazioni</w:t>
            </w:r>
          </w:p>
        </w:tc>
        <w:tc>
          <w:tcPr>
            <w:tcW w:w="5250" w:type="dxa"/>
            <w:shd w:fill="FFFFFF"/>
            <w:tcMar>
              <w:top w:w="90" w:type="dxa"/>
              <w:left w:w="100" w:type="dxa"/>
              <w:bottom w:w="90" w:type="dxa"/>
              <w:right w:w="100" w:type="dxa"/>
            </w:tcMar>
          </w:tcPr>
          <w:p>
            <w:pPr>
              <w:spacing w:after="0" w:line="260" w:lineRule="auto"/>
            </w:pPr>
            <w:r>
              <w:rPr>
                <w:color w:val="1F2937"/>
                <w:sz w:val="19"/>
                <w:szCs w:val="19"/>
              </w:rPr>
              <w:t xml:space="preserve">Word, Excel, CSV e .smzsvc leggibili senza protezione</w:t>
            </w:r>
          </w:p>
        </w:tc>
        <w:tc>
          <w:tcPr>
            <w:tcW w:w="1500" w:type="dxa"/>
            <w:shd w:fill="FFFFFF"/>
            <w:tcMar>
              <w:top w:w="90" w:type="dxa"/>
              <w:left w:w="100" w:type="dxa"/>
              <w:bottom w:w="90" w:type="dxa"/>
              <w:right w:w="100" w:type="dxa"/>
            </w:tcMar>
          </w:tcPr>
          <w:p>
            <w:pPr>
              <w:spacing w:after="0" w:line="260" w:lineRule="auto"/>
            </w:pPr>
            <w:r>
              <w:rPr>
                <w:color w:val="1F2937"/>
                <w:sz w:val="19"/>
                <w:szCs w:val="19"/>
              </w:rPr>
              <w:t xml:space="preserve">Alta</w:t>
            </w:r>
          </w:p>
        </w:tc>
      </w:tr>
      <w:tr>
        <w:tc>
          <w:tcPr>
            <w:tcW w:w="1850" w:type="dxa"/>
            <w:shd w:fill="F7FAFC"/>
            <w:tcMar>
              <w:top w:w="90" w:type="dxa"/>
              <w:left w:w="100" w:type="dxa"/>
              <w:bottom w:w="90" w:type="dxa"/>
              <w:right w:w="100" w:type="dxa"/>
            </w:tcMar>
          </w:tcPr>
          <w:p>
            <w:pPr>
              <w:spacing w:after="0" w:line="260" w:lineRule="auto"/>
            </w:pPr>
            <w:r>
              <w:rPr>
                <w:color w:val="1F2937"/>
                <w:sz w:val="19"/>
                <w:szCs w:val="19"/>
              </w:rPr>
              <w:t xml:space="preserve">Dati sanitari</w:t>
            </w:r>
          </w:p>
        </w:tc>
        <w:tc>
          <w:tcPr>
            <w:tcW w:w="5250" w:type="dxa"/>
            <w:shd w:fill="F7FAFC"/>
            <w:tcMar>
              <w:top w:w="90" w:type="dxa"/>
              <w:left w:w="100" w:type="dxa"/>
              <w:bottom w:w="90" w:type="dxa"/>
              <w:right w:w="100" w:type="dxa"/>
            </w:tcMar>
          </w:tcPr>
          <w:p>
            <w:pPr>
              <w:spacing w:after="0" w:line="260" w:lineRule="auto"/>
            </w:pPr>
            <w:r>
              <w:rPr>
                <w:color w:val="1F2937"/>
                <w:sz w:val="19"/>
                <w:szCs w:val="19"/>
              </w:rPr>
              <w:t xml:space="preserve">Esiti e note nel normale modulo personale</w:t>
            </w:r>
          </w:p>
        </w:tc>
        <w:tc>
          <w:tcPr>
            <w:tcW w:w="1500" w:type="dxa"/>
            <w:shd w:fill="F7FAFC"/>
            <w:tcMar>
              <w:top w:w="90" w:type="dxa"/>
              <w:left w:w="100" w:type="dxa"/>
              <w:bottom w:w="90" w:type="dxa"/>
              <w:right w:w="100" w:type="dxa"/>
            </w:tcMar>
          </w:tcPr>
          <w:p>
            <w:pPr>
              <w:spacing w:after="0" w:line="260" w:lineRule="auto"/>
            </w:pPr>
            <w:r>
              <w:rPr>
                <w:color w:val="1F2937"/>
                <w:sz w:val="19"/>
                <w:szCs w:val="19"/>
              </w:rPr>
              <w:t xml:space="preserve">Alta</w:t>
            </w:r>
          </w:p>
        </w:tc>
      </w:tr>
      <w:tr>
        <w:tc>
          <w:tcPr>
            <w:tcW w:w="1850" w:type="dxa"/>
            <w:shd w:fill="FFFFFF"/>
            <w:tcMar>
              <w:top w:w="90" w:type="dxa"/>
              <w:left w:w="100" w:type="dxa"/>
              <w:bottom w:w="90" w:type="dxa"/>
              <w:right w:w="100" w:type="dxa"/>
            </w:tcMar>
          </w:tcPr>
          <w:p>
            <w:pPr>
              <w:spacing w:after="0" w:line="260" w:lineRule="auto"/>
            </w:pPr>
            <w:r>
              <w:rPr>
                <w:color w:val="1F2937"/>
                <w:sz w:val="19"/>
                <w:szCs w:val="19"/>
              </w:rPr>
              <w:t xml:space="preserve">Autorizzazioni</w:t>
            </w:r>
          </w:p>
        </w:tc>
        <w:tc>
          <w:tcPr>
            <w:tcW w:w="5250" w:type="dxa"/>
            <w:shd w:fill="FFFFFF"/>
            <w:tcMar>
              <w:top w:w="90" w:type="dxa"/>
              <w:left w:w="100" w:type="dxa"/>
              <w:bottom w:w="90" w:type="dxa"/>
              <w:right w:w="100" w:type="dxa"/>
            </w:tcMar>
          </w:tcPr>
          <w:p>
            <w:pPr>
              <w:spacing w:after="0" w:line="260" w:lineRule="auto"/>
            </w:pPr>
            <w:r>
              <w:rPr>
                <w:color w:val="1F2937"/>
                <w:sz w:val="19"/>
                <w:szCs w:val="19"/>
              </w:rPr>
              <w:t xml:space="preserve">Solo ruoli Base e Amministratore</w:t>
            </w:r>
          </w:p>
        </w:tc>
        <w:tc>
          <w:tcPr>
            <w:tcW w:w="1500" w:type="dxa"/>
            <w:shd w:fill="FFFFFF"/>
            <w:tcMar>
              <w:top w:w="90" w:type="dxa"/>
              <w:left w:w="100" w:type="dxa"/>
              <w:bottom w:w="90" w:type="dxa"/>
              <w:right w:w="100" w:type="dxa"/>
            </w:tcMar>
          </w:tcPr>
          <w:p>
            <w:pPr>
              <w:spacing w:after="0" w:line="260" w:lineRule="auto"/>
            </w:pPr>
            <w:r>
              <w:rPr>
                <w:color w:val="1F2937"/>
                <w:sz w:val="19"/>
                <w:szCs w:val="19"/>
              </w:rPr>
              <w:t xml:space="preserve">Alta</w:t>
            </w:r>
          </w:p>
        </w:tc>
      </w:tr>
      <w:tr>
        <w:tc>
          <w:tcPr>
            <w:tcW w:w="1850" w:type="dxa"/>
            <w:shd w:fill="F7FAFC"/>
            <w:tcMar>
              <w:top w:w="90" w:type="dxa"/>
              <w:left w:w="100" w:type="dxa"/>
              <w:bottom w:w="90" w:type="dxa"/>
              <w:right w:w="100" w:type="dxa"/>
            </w:tcMar>
          </w:tcPr>
          <w:p>
            <w:pPr>
              <w:spacing w:after="0" w:line="260" w:lineRule="auto"/>
            </w:pPr>
            <w:r>
              <w:rPr>
                <w:color w:val="1F2937"/>
                <w:sz w:val="19"/>
                <w:szCs w:val="19"/>
              </w:rPr>
              <w:t xml:space="preserve">Tracciamento</w:t>
            </w:r>
          </w:p>
        </w:tc>
        <w:tc>
          <w:tcPr>
            <w:tcW w:w="5250" w:type="dxa"/>
            <w:shd w:fill="F7FAFC"/>
            <w:tcMar>
              <w:top w:w="90" w:type="dxa"/>
              <w:left w:w="100" w:type="dxa"/>
              <w:bottom w:w="90" w:type="dxa"/>
              <w:right w:w="100" w:type="dxa"/>
            </w:tcMar>
          </w:tcPr>
          <w:p>
            <w:pPr>
              <w:spacing w:after="0" w:line="260" w:lineRule="auto"/>
            </w:pPr>
            <w:r>
              <w:rPr>
                <w:color w:val="1F2937"/>
                <w:sz w:val="19"/>
                <w:szCs w:val="19"/>
              </w:rPr>
              <w:t xml:space="preserve">Manca il log di consultazioni, modifiche, export e cancellazioni</w:t>
            </w:r>
          </w:p>
        </w:tc>
        <w:tc>
          <w:tcPr>
            <w:tcW w:w="1500" w:type="dxa"/>
            <w:shd w:fill="F7FAFC"/>
            <w:tcMar>
              <w:top w:w="90" w:type="dxa"/>
              <w:left w:w="100" w:type="dxa"/>
              <w:bottom w:w="90" w:type="dxa"/>
              <w:right w:w="100" w:type="dxa"/>
            </w:tcMar>
          </w:tcPr>
          <w:p>
            <w:pPr>
              <w:spacing w:after="0" w:line="260" w:lineRule="auto"/>
            </w:pPr>
            <w:r>
              <w:rPr>
                <w:color w:val="1F2937"/>
                <w:sz w:val="19"/>
                <w:szCs w:val="19"/>
              </w:rPr>
              <w:t xml:space="preserve">Alta</w:t>
            </w:r>
          </w:p>
        </w:tc>
      </w:tr>
      <w:tr>
        <w:tc>
          <w:tcPr>
            <w:tcW w:w="1850" w:type="dxa"/>
            <w:shd w:fill="FFFFFF"/>
            <w:tcMar>
              <w:top w:w="90" w:type="dxa"/>
              <w:left w:w="100" w:type="dxa"/>
              <w:bottom w:w="90" w:type="dxa"/>
              <w:right w:w="100" w:type="dxa"/>
            </w:tcMar>
          </w:tcPr>
          <w:p>
            <w:pPr>
              <w:spacing w:after="0" w:line="260" w:lineRule="auto"/>
            </w:pPr>
            <w:r>
              <w:rPr>
                <w:color w:val="1F2937"/>
                <w:sz w:val="19"/>
                <w:szCs w:val="19"/>
              </w:rPr>
              <w:t xml:space="preserve">Conservazione</w:t>
            </w:r>
          </w:p>
        </w:tc>
        <w:tc>
          <w:tcPr>
            <w:tcW w:w="5250" w:type="dxa"/>
            <w:shd w:fill="FFFFFF"/>
            <w:tcMar>
              <w:top w:w="90" w:type="dxa"/>
              <w:left w:w="100" w:type="dxa"/>
              <w:bottom w:w="90" w:type="dxa"/>
              <w:right w:w="100" w:type="dxa"/>
            </w:tcMar>
          </w:tcPr>
          <w:p>
            <w:pPr>
              <w:spacing w:after="0" w:line="260" w:lineRule="auto"/>
            </w:pPr>
            <w:r>
              <w:rPr>
                <w:color w:val="1F2937"/>
                <w:sz w:val="19"/>
                <w:szCs w:val="19"/>
              </w:rPr>
              <w:t xml:space="preserve">Nessuna politica temporale per categorie di dati</w:t>
            </w:r>
          </w:p>
        </w:tc>
        <w:tc>
          <w:tcPr>
            <w:tcW w:w="1500" w:type="dxa"/>
            <w:shd w:fill="FFFFFF"/>
            <w:tcMar>
              <w:top w:w="90" w:type="dxa"/>
              <w:left w:w="100" w:type="dxa"/>
              <w:bottom w:w="90" w:type="dxa"/>
              <w:right w:w="100" w:type="dxa"/>
            </w:tcMar>
          </w:tcPr>
          <w:p>
            <w:pPr>
              <w:spacing w:after="0" w:line="260" w:lineRule="auto"/>
            </w:pPr>
            <w:r>
              <w:rPr>
                <w:color w:val="1F2937"/>
                <w:sz w:val="19"/>
                <w:szCs w:val="19"/>
              </w:rPr>
              <w:t xml:space="preserve">Alta</w:t>
            </w:r>
          </w:p>
        </w:tc>
      </w:tr>
      <w:tr>
        <w:tc>
          <w:tcPr>
            <w:tcW w:w="1850" w:type="dxa"/>
            <w:shd w:fill="F7FAFC"/>
            <w:tcMar>
              <w:top w:w="90" w:type="dxa"/>
              <w:left w:w="100" w:type="dxa"/>
              <w:bottom w:w="90" w:type="dxa"/>
              <w:right w:w="100" w:type="dxa"/>
            </w:tcMar>
          </w:tcPr>
          <w:p>
            <w:pPr>
              <w:spacing w:after="0" w:line="260" w:lineRule="auto"/>
            </w:pPr>
            <w:r>
              <w:rPr>
                <w:color w:val="1F2937"/>
                <w:sz w:val="19"/>
                <w:szCs w:val="19"/>
              </w:rPr>
              <w:t xml:space="preserve">Cancellazione</w:t>
            </w:r>
          </w:p>
        </w:tc>
        <w:tc>
          <w:tcPr>
            <w:tcW w:w="5250" w:type="dxa"/>
            <w:shd w:fill="F7FAFC"/>
            <w:tcMar>
              <w:top w:w="90" w:type="dxa"/>
              <w:left w:w="100" w:type="dxa"/>
              <w:bottom w:w="90" w:type="dxa"/>
              <w:right w:w="100" w:type="dxa"/>
            </w:tcMar>
          </w:tcPr>
          <w:p>
            <w:pPr>
              <w:spacing w:after="0" w:line="260" w:lineRule="auto"/>
            </w:pPr>
            <w:r>
              <w:rPr>
                <w:color w:val="1F2937"/>
                <w:sz w:val="19"/>
                <w:szCs w:val="19"/>
              </w:rPr>
              <w:t xml:space="preserve">Vecchi backup ed export possono conservare dati eliminati</w:t>
            </w:r>
          </w:p>
        </w:tc>
        <w:tc>
          <w:tcPr>
            <w:tcW w:w="1500" w:type="dxa"/>
            <w:shd w:fill="F7FAFC"/>
            <w:tcMar>
              <w:top w:w="90" w:type="dxa"/>
              <w:left w:w="100" w:type="dxa"/>
              <w:bottom w:w="90" w:type="dxa"/>
              <w:right w:w="100" w:type="dxa"/>
            </w:tcMar>
          </w:tcPr>
          <w:p>
            <w:pPr>
              <w:spacing w:after="0" w:line="260" w:lineRule="auto"/>
            </w:pPr>
            <w:r>
              <w:rPr>
                <w:color w:val="1F2937"/>
                <w:sz w:val="19"/>
                <w:szCs w:val="19"/>
              </w:rPr>
              <w:t xml:space="preserve">Alta</w:t>
            </w:r>
          </w:p>
        </w:tc>
      </w:tr>
      <w:tr>
        <w:tc>
          <w:tcPr>
            <w:tcW w:w="1850" w:type="dxa"/>
            <w:shd w:fill="FFFFFF"/>
            <w:tcMar>
              <w:top w:w="90" w:type="dxa"/>
              <w:left w:w="100" w:type="dxa"/>
              <w:bottom w:w="90" w:type="dxa"/>
              <w:right w:w="100" w:type="dxa"/>
            </w:tcMar>
          </w:tcPr>
          <w:p>
            <w:pPr>
              <w:spacing w:after="0" w:line="260" w:lineRule="auto"/>
            </w:pPr>
            <w:r>
              <w:rPr>
                <w:color w:val="1F2937"/>
                <w:sz w:val="19"/>
                <w:szCs w:val="19"/>
              </w:rPr>
              <w:t xml:space="preserve">Sessione</w:t>
            </w:r>
          </w:p>
        </w:tc>
        <w:tc>
          <w:tcPr>
            <w:tcW w:w="5250" w:type="dxa"/>
            <w:shd w:fill="FFFFFF"/>
            <w:tcMar>
              <w:top w:w="90" w:type="dxa"/>
              <w:left w:w="100" w:type="dxa"/>
              <w:bottom w:w="90" w:type="dxa"/>
              <w:right w:w="100" w:type="dxa"/>
            </w:tcMar>
          </w:tcPr>
          <w:p>
            <w:pPr>
              <w:spacing w:after="0" w:line="260" w:lineRule="auto"/>
            </w:pPr>
            <w:r>
              <w:rPr>
                <w:color w:val="1F2937"/>
                <w:sz w:val="19"/>
                <w:szCs w:val="19"/>
              </w:rPr>
              <w:t xml:space="preserve">Nessun blocco automatico per inattività</w:t>
            </w:r>
          </w:p>
        </w:tc>
        <w:tc>
          <w:tcPr>
            <w:tcW w:w="1500" w:type="dxa"/>
            <w:shd w:fill="FFFFFF"/>
            <w:tcMar>
              <w:top w:w="90" w:type="dxa"/>
              <w:left w:w="100" w:type="dxa"/>
              <w:bottom w:w="90" w:type="dxa"/>
              <w:right w:w="100" w:type="dxa"/>
            </w:tcMar>
          </w:tcPr>
          <w:p>
            <w:pPr>
              <w:spacing w:after="0" w:line="260" w:lineRule="auto"/>
            </w:pPr>
            <w:r>
              <w:rPr>
                <w:color w:val="1F2937"/>
                <w:sz w:val="19"/>
                <w:szCs w:val="19"/>
              </w:rPr>
              <w:t xml:space="preserve">Media</w:t>
            </w:r>
          </w:p>
        </w:tc>
      </w:tr>
      <w:tr>
        <w:tc>
          <w:tcPr>
            <w:tcW w:w="1850" w:type="dxa"/>
            <w:shd w:fill="F7FAFC"/>
            <w:tcMar>
              <w:top w:w="90" w:type="dxa"/>
              <w:left w:w="100" w:type="dxa"/>
              <w:bottom w:w="90" w:type="dxa"/>
              <w:right w:w="100" w:type="dxa"/>
            </w:tcMar>
          </w:tcPr>
          <w:p>
            <w:pPr>
              <w:spacing w:after="0" w:line="260" w:lineRule="auto"/>
            </w:pPr>
            <w:r>
              <w:rPr>
                <w:color w:val="1F2937"/>
                <w:sz w:val="19"/>
                <w:szCs w:val="19"/>
              </w:rPr>
              <w:t xml:space="preserve">Login</w:t>
            </w:r>
          </w:p>
        </w:tc>
        <w:tc>
          <w:tcPr>
            <w:tcW w:w="5250" w:type="dxa"/>
            <w:shd w:fill="F7FAFC"/>
            <w:tcMar>
              <w:top w:w="90" w:type="dxa"/>
              <w:left w:w="100" w:type="dxa"/>
              <w:bottom w:w="90" w:type="dxa"/>
              <w:right w:w="100" w:type="dxa"/>
            </w:tcMar>
          </w:tcPr>
          <w:p>
            <w:pPr>
              <w:spacing w:after="0" w:line="260" w:lineRule="auto"/>
            </w:pPr>
            <w:r>
              <w:rPr>
                <w:color w:val="1F2937"/>
                <w:sz w:val="19"/>
                <w:szCs w:val="19"/>
              </w:rPr>
              <w:t xml:space="preserve">Nessun rallentamento o blocco dopo tentativi falliti</w:t>
            </w:r>
          </w:p>
        </w:tc>
        <w:tc>
          <w:tcPr>
            <w:tcW w:w="1500" w:type="dxa"/>
            <w:shd w:fill="F7FAFC"/>
            <w:tcMar>
              <w:top w:w="90" w:type="dxa"/>
              <w:left w:w="100" w:type="dxa"/>
              <w:bottom w:w="90" w:type="dxa"/>
              <w:right w:w="100" w:type="dxa"/>
            </w:tcMar>
          </w:tcPr>
          <w:p>
            <w:pPr>
              <w:spacing w:after="0" w:line="260" w:lineRule="auto"/>
            </w:pPr>
            <w:r>
              <w:rPr>
                <w:color w:val="1F2937"/>
                <w:sz w:val="19"/>
                <w:szCs w:val="19"/>
              </w:rPr>
              <w:t xml:space="preserve">Media</w:t>
            </w:r>
          </w:p>
        </w:tc>
      </w:tr>
      <w:tr>
        <w:tc>
          <w:tcPr>
            <w:tcW w:w="1850" w:type="dxa"/>
            <w:shd w:fill="FFFFFF"/>
            <w:tcMar>
              <w:top w:w="90" w:type="dxa"/>
              <w:left w:w="100" w:type="dxa"/>
              <w:bottom w:w="90" w:type="dxa"/>
              <w:right w:w="100" w:type="dxa"/>
            </w:tcMar>
          </w:tcPr>
          <w:p>
            <w:pPr>
              <w:spacing w:after="0" w:line="260" w:lineRule="auto"/>
            </w:pPr>
            <w:r>
              <w:rPr>
                <w:color w:val="1F2937"/>
                <w:sz w:val="19"/>
                <w:szCs w:val="19"/>
              </w:rPr>
              <w:t xml:space="preserve">Documentazione</w:t>
            </w:r>
          </w:p>
        </w:tc>
        <w:tc>
          <w:tcPr>
            <w:tcW w:w="5250" w:type="dxa"/>
            <w:shd w:fill="FFFFFF"/>
            <w:tcMar>
              <w:top w:w="90" w:type="dxa"/>
              <w:left w:w="100" w:type="dxa"/>
              <w:bottom w:w="90" w:type="dxa"/>
              <w:right w:w="100" w:type="dxa"/>
            </w:tcMar>
          </w:tcPr>
          <w:p>
            <w:pPr>
              <w:spacing w:after="0" w:line="260" w:lineRule="auto"/>
            </w:pPr>
            <w:r>
              <w:rPr>
                <w:color w:val="1F2937"/>
                <w:sz w:val="19"/>
                <w:szCs w:val="19"/>
              </w:rPr>
              <w:t xml:space="preserve">Nessun documento GDPR presente nel progetto</w:t>
            </w:r>
          </w:p>
        </w:tc>
        <w:tc>
          <w:tcPr>
            <w:tcW w:w="1500" w:type="dxa"/>
            <w:shd w:fill="FFFFFF"/>
            <w:tcMar>
              <w:top w:w="90" w:type="dxa"/>
              <w:left w:w="100" w:type="dxa"/>
              <w:bottom w:w="90" w:type="dxa"/>
              <w:right w:w="100" w:type="dxa"/>
            </w:tcMar>
          </w:tcPr>
          <w:p>
            <w:pPr>
              <w:spacing w:after="0" w:line="260" w:lineRule="auto"/>
            </w:pPr>
            <w:r>
              <w:rPr>
                <w:color w:val="1F2937"/>
                <w:sz w:val="19"/>
                <w:szCs w:val="19"/>
              </w:rPr>
              <w:t xml:space="preserve">Alta/organizzativa</w:t>
            </w:r>
          </w:p>
        </w:tc>
      </w:tr>
      <w:tr>
        <w:tc>
          <w:tcPr>
            <w:tcW w:w="1850" w:type="dxa"/>
            <w:shd w:fill="F7FAFC"/>
            <w:tcMar>
              <w:top w:w="90" w:type="dxa"/>
              <w:left w:w="100" w:type="dxa"/>
              <w:bottom w:w="90" w:type="dxa"/>
              <w:right w:w="100" w:type="dxa"/>
            </w:tcMar>
          </w:tcPr>
          <w:p>
            <w:pPr>
              <w:spacing w:after="0" w:line="260" w:lineRule="auto"/>
            </w:pPr>
            <w:r>
              <w:rPr>
                <w:color w:val="1F2937"/>
                <w:sz w:val="19"/>
                <w:szCs w:val="19"/>
              </w:rPr>
              <w:t xml:space="preserve">Distribuzione</w:t>
            </w:r>
          </w:p>
        </w:tc>
        <w:tc>
          <w:tcPr>
            <w:tcW w:w="5250" w:type="dxa"/>
            <w:shd w:fill="F7FAFC"/>
            <w:tcMar>
              <w:top w:w="90" w:type="dxa"/>
              <w:left w:w="100" w:type="dxa"/>
              <w:bottom w:w="90" w:type="dxa"/>
              <w:right w:w="100" w:type="dxa"/>
            </w:tcMar>
          </w:tcPr>
          <w:p>
            <w:pPr>
              <w:spacing w:after="0" w:line="260" w:lineRule="auto"/>
            </w:pPr>
            <w:r>
              <w:rPr>
                <w:color w:val="1F2937"/>
                <w:sz w:val="19"/>
                <w:szCs w:val="19"/>
              </w:rPr>
              <w:t xml:space="preserve">Eseguibile non risulta firmato digitalmente</w:t>
            </w:r>
          </w:p>
        </w:tc>
        <w:tc>
          <w:tcPr>
            <w:tcW w:w="1500" w:type="dxa"/>
            <w:shd w:fill="F7FAFC"/>
            <w:tcMar>
              <w:top w:w="90" w:type="dxa"/>
              <w:left w:w="100" w:type="dxa"/>
              <w:bottom w:w="90" w:type="dxa"/>
              <w:right w:w="100" w:type="dxa"/>
            </w:tcMar>
          </w:tcPr>
          <w:p>
            <w:pPr>
              <w:spacing w:after="0" w:line="260" w:lineRule="auto"/>
            </w:pPr>
            <w:r>
              <w:rPr>
                <w:color w:val="1F2937"/>
                <w:sz w:val="19"/>
                <w:szCs w:val="19"/>
              </w:rPr>
              <w:t xml:space="preserve">Media</w:t>
            </w:r>
          </w:p>
        </w:tc>
      </w:tr>
    </w:tbl>
    <w:p>
      <w:pPr>
        <w:spacing w:before="320" w:after="140" w:line="300" w:lineRule="auto"/>
      </w:pPr>
      <w:r>
        <w:rPr>
          <w:b/>
          <w:color w:val="173A62"/>
          <w:sz w:val="30"/>
          <w:szCs w:val="30"/>
        </w:rPr>
        <w:t xml:space="preserve">6. Cifratura e sicurezza del dispositivo</w:t>
      </w:r>
    </w:p>
    <w:p>
      <w:pPr>
        <w:spacing w:before="0" w:after="120" w:line="300" w:lineRule="auto"/>
      </w:pPr>
      <w:r>
        <w:rPr>
          <w:color w:val="1F2937"/>
          <w:sz w:val="22"/>
          <w:szCs w:val="22"/>
        </w:rPr>
        <w:t xml:space="preserve">Il database viene salvato come file ordinario nella cartella locale dell’utente Windows. Il login dell’applicazione non protegge il file da chi ottenga accesso al profilo Windows, al disco o a una copia del database. Anche i backup sono archivi ZIP privi di cifratura applicativa.</w:t>
      </w:r>
    </w:p>
    <w:p>
      <w:pPr>
        <w:spacing w:before="0" w:after="120" w:line="300" w:lineRule="auto"/>
      </w:pPr>
      <w:r>
        <w:rPr>
          <w:color w:val="1F2937"/>
          <w:sz w:val="22"/>
          <w:szCs w:val="22"/>
        </w:rPr>
        <w:t xml:space="preserve">Misure minime consigliate:</w:t>
      </w:r>
    </w:p>
    <w:p>
      <w:pPr>
        <w:spacing w:before="0" w:after="120" w:line="300" w:lineRule="auto"/>
        <w:ind w:left="720" w:hanging="360"/>
      </w:pPr>
      <w:r>
        <w:rPr>
          <w:color w:val="1F2937"/>
          <w:sz w:val="22"/>
          <w:szCs w:val="22"/>
        </w:rPr>
        <w:t xml:space="preserve">•  attivare BitLocker sul PC e conservare in sicurezza la chiave di ripristino</w:t>
      </w:r>
    </w:p>
    <w:p>
      <w:pPr>
        <w:spacing w:before="0" w:after="120" w:line="300" w:lineRule="auto"/>
        <w:ind w:left="720" w:hanging="360"/>
      </w:pPr>
      <w:r>
        <w:rPr>
          <w:color w:val="1F2937"/>
          <w:sz w:val="22"/>
          <w:szCs w:val="22"/>
        </w:rPr>
        <w:t xml:space="preserve">•  utilizzare account Windows individuali e non condivisi</w:t>
      </w:r>
    </w:p>
    <w:p>
      <w:pPr>
        <w:spacing w:before="0" w:after="120" w:line="300" w:lineRule="auto"/>
        <w:ind w:left="720" w:hanging="360"/>
      </w:pPr>
      <w:r>
        <w:rPr>
          <w:color w:val="1F2937"/>
          <w:sz w:val="22"/>
          <w:szCs w:val="22"/>
        </w:rPr>
        <w:t xml:space="preserve">•  attivare il blocco automatico dello schermo</w:t>
      </w:r>
    </w:p>
    <w:p>
      <w:pPr>
        <w:spacing w:before="0" w:after="120" w:line="300" w:lineRule="auto"/>
        <w:ind w:left="720" w:hanging="360"/>
      </w:pPr>
      <w:r>
        <w:rPr>
          <w:color w:val="1F2937"/>
          <w:sz w:val="22"/>
          <w:szCs w:val="22"/>
        </w:rPr>
        <w:t xml:space="preserve">•  limitare i permessi Windows sulle cartelle del database, dei backup e degli export</w:t>
      </w:r>
    </w:p>
    <w:p>
      <w:pPr>
        <w:spacing w:before="0" w:after="120" w:line="300" w:lineRule="auto"/>
        <w:ind w:left="720" w:hanging="360"/>
      </w:pPr>
      <w:r>
        <w:rPr>
          <w:color w:val="1F2937"/>
          <w:sz w:val="22"/>
          <w:szCs w:val="22"/>
        </w:rPr>
        <w:t xml:space="preserve">•  cifrare sempre i backup esterni</w:t>
      </w:r>
    </w:p>
    <w:p>
      <w:pPr>
        <w:spacing w:before="0" w:after="120" w:line="300" w:lineRule="auto"/>
        <w:ind w:left="720" w:hanging="360"/>
      </w:pPr>
      <w:r>
        <w:rPr>
          <w:color w:val="1F2937"/>
          <w:sz w:val="22"/>
          <w:szCs w:val="22"/>
        </w:rPr>
        <w:t xml:space="preserve">•  vietare chiavette USB e cartelle cloud non autorizzate</w:t>
      </w:r>
    </w:p>
    <w:p>
      <w:pPr>
        <w:spacing w:before="0" w:after="120" w:line="300" w:lineRule="auto"/>
        <w:ind w:left="720" w:hanging="360"/>
      </w:pPr>
      <w:r>
        <w:rPr>
          <w:color w:val="1F2937"/>
          <w:sz w:val="22"/>
          <w:szCs w:val="22"/>
        </w:rPr>
        <w:t xml:space="preserve">•  valutare la cifratura applicativa del database e la protezione delle chiavi tramite Windows DPAPI</w:t>
      </w:r>
    </w:p>
    <w:p>
      <w:pPr>
        <w:spacing w:before="0" w:after="120" w:line="300" w:lineRule="auto"/>
        <w:ind w:left="720" w:hanging="360"/>
      </w:pPr>
      <w:r>
        <w:rPr>
          <w:color w:val="1F2937"/>
          <w:sz w:val="22"/>
          <w:szCs w:val="22"/>
        </w:rPr>
        <w:t xml:space="preserve">•  firmare digitalmente l’eseguibile e definire una procedura controllata di aggiornamento</w:t>
      </w:r>
    </w:p>
    <w:p>
      <w:pPr>
        <w:spacing w:before="320" w:after="140" w:line="300" w:lineRule="auto"/>
      </w:pPr>
      <w:r>
        <w:rPr>
          <w:b/>
          <w:color w:val="173A62"/>
          <w:sz w:val="30"/>
          <w:szCs w:val="30"/>
        </w:rPr>
        <w:t xml:space="preserve">7. Dati sanitari e minimizzazione</w:t>
      </w:r>
    </w:p>
    <w:p>
      <w:pPr>
        <w:spacing w:before="0" w:after="120" w:line="300" w:lineRule="auto"/>
      </w:pPr>
      <w:r>
        <w:rPr>
          <w:color w:val="1F2937"/>
          <w:sz w:val="22"/>
          <w:szCs w:val="22"/>
        </w:rPr>
        <w:t xml:space="preserve">Il sistema conserva tipo di visita, date, scadenza, esito e note. Deve essere verificato se ciascuna informazione sia effettivamente necessaria. In ambito lavorativo, il medico competente è il soggetto legittimato a trattare i dettagli sanitari; al datore di lavoro devono normalmente essere comunicate soltanto le informazioni necessarie alla gestione del giudizio di idoneità e delle prescrizioni applicabili.</w:t>
      </w:r>
    </w:p>
    <w:p>
      <w:pPr>
        <w:spacing w:before="0" w:after="120" w:line="300" w:lineRule="auto"/>
      </w:pPr>
      <w:r>
        <w:rPr>
          <w:color w:val="1F2937"/>
          <w:sz w:val="22"/>
          <w:szCs w:val="22"/>
        </w:rPr>
        <w:t xml:space="preserve">Interventi consigliati:</w:t>
      </w:r>
    </w:p>
    <w:p>
      <w:pPr>
        <w:spacing w:before="0" w:after="120" w:line="300" w:lineRule="auto"/>
        <w:ind w:left="720" w:hanging="360"/>
      </w:pPr>
      <w:r>
        <w:rPr>
          <w:color w:val="1F2937"/>
          <w:sz w:val="22"/>
          <w:szCs w:val="22"/>
        </w:rPr>
        <w:t xml:space="preserve">•  evitare diagnosi e dettagli clinici nei campi note</w:t>
      </w:r>
    </w:p>
    <w:p>
      <w:pPr>
        <w:spacing w:before="0" w:after="120" w:line="300" w:lineRule="auto"/>
        <w:ind w:left="720" w:hanging="360"/>
      </w:pPr>
      <w:r>
        <w:rPr>
          <w:color w:val="1F2937"/>
          <w:sz w:val="22"/>
          <w:szCs w:val="22"/>
        </w:rPr>
        <w:t xml:space="preserve">•  valutare la conservazione del solo giudizio di idoneità, delle eventuali prescrizioni necessarie e della scadenza</w:t>
      </w:r>
    </w:p>
    <w:p>
      <w:pPr>
        <w:spacing w:before="0" w:after="120" w:line="300" w:lineRule="auto"/>
        <w:ind w:left="720" w:hanging="360"/>
      </w:pPr>
      <w:r>
        <w:rPr>
          <w:color w:val="1F2937"/>
          <w:sz w:val="22"/>
          <w:szCs w:val="22"/>
        </w:rPr>
        <w:t xml:space="preserve">•  separare logicamente e visivamente i dati sanitari dagli altri dati anagrafici</w:t>
      </w:r>
    </w:p>
    <w:p>
      <w:pPr>
        <w:spacing w:before="0" w:after="120" w:line="300" w:lineRule="auto"/>
        <w:ind w:left="720" w:hanging="360"/>
      </w:pPr>
      <w:r>
        <w:rPr>
          <w:color w:val="1F2937"/>
          <w:sz w:val="22"/>
          <w:szCs w:val="22"/>
        </w:rPr>
        <w:t xml:space="preserve">•  limitare l’accesso alle visite a un ruolo specificamente autorizzato</w:t>
      </w:r>
    </w:p>
    <w:p>
      <w:pPr>
        <w:spacing w:before="0" w:after="120" w:line="300" w:lineRule="auto"/>
        <w:ind w:left="720" w:hanging="360"/>
      </w:pPr>
      <w:r>
        <w:rPr>
          <w:color w:val="1F2937"/>
          <w:sz w:val="22"/>
          <w:szCs w:val="22"/>
        </w:rPr>
        <w:t xml:space="preserve">•  inserire accanto alle note un avviso che vieti dettagli sanitari non necessari</w:t>
      </w:r>
    </w:p>
    <w:p>
      <w:pPr>
        <w:spacing w:before="0" w:after="120" w:line="300" w:lineRule="auto"/>
        <w:ind w:left="720" w:hanging="360"/>
      </w:pPr>
      <w:r>
        <w:rPr>
          <w:color w:val="1F2937"/>
          <w:sz w:val="22"/>
          <w:szCs w:val="22"/>
        </w:rPr>
        <w:t xml:space="preserve">•  riesaminare la necessità di residenza, secondo telefono, seconda email e altri campi non indispensabili</w:t>
      </w:r>
    </w:p>
    <w:p>
      <w:pPr>
        <w:spacing w:before="320" w:after="140" w:line="300" w:lineRule="auto"/>
      </w:pPr>
      <w:r>
        <w:rPr>
          <w:b/>
          <w:color w:val="173A62"/>
          <w:sz w:val="30"/>
          <w:szCs w:val="30"/>
        </w:rPr>
        <w:t xml:space="preserve">8. Autorizzazioni, sessioni e tracciamento</w:t>
      </w:r>
    </w:p>
    <w:p>
      <w:pPr>
        <w:spacing w:before="0" w:after="120" w:line="300" w:lineRule="auto"/>
      </w:pPr>
      <w:r>
        <w:rPr>
          <w:color w:val="1F2937"/>
          <w:sz w:val="22"/>
          <w:szCs w:val="22"/>
        </w:rPr>
        <w:t xml:space="preserve">I ruoli Base e Amministratore sono troppo ampi rispetto alla varietà dei dati. In particolare, chi amministra tecnicamente il sistema non dovrebbe ottenere automaticamente accesso ai dati sanitari se ciò non è necessario.</w:t>
      </w:r>
    </w:p>
    <w:p>
      <w:pPr>
        <w:spacing w:before="0" w:after="120" w:line="300" w:lineRule="auto"/>
      </w:pPr>
      <w:r>
        <w:rPr>
          <w:color w:val="1F2937"/>
          <w:sz w:val="22"/>
          <w:szCs w:val="22"/>
        </w:rPr>
        <w:t xml:space="preserve">Ruoli applicativi suggeriti:</w:t>
      </w:r>
    </w:p>
    <w:p>
      <w:pPr>
        <w:spacing w:before="0" w:after="120" w:line="300" w:lineRule="auto"/>
        <w:ind w:left="720" w:hanging="360"/>
      </w:pPr>
      <w:r>
        <w:rPr>
          <w:color w:val="1F2937"/>
          <w:sz w:val="22"/>
          <w:szCs w:val="22"/>
        </w:rPr>
        <w:t xml:space="preserve">•  amministratore tecnico, senza accesso ordinario ai contenuti sanitari</w:t>
      </w:r>
    </w:p>
    <w:p>
      <w:pPr>
        <w:spacing w:before="0" w:after="120" w:line="300" w:lineRule="auto"/>
        <w:ind w:left="720" w:hanging="360"/>
      </w:pPr>
      <w:r>
        <w:rPr>
          <w:color w:val="1F2937"/>
          <w:sz w:val="22"/>
          <w:szCs w:val="22"/>
        </w:rPr>
        <w:t xml:space="preserve">•  responsabile anagrafica</w:t>
      </w:r>
    </w:p>
    <w:p>
      <w:pPr>
        <w:spacing w:before="0" w:after="120" w:line="300" w:lineRule="auto"/>
        <w:ind w:left="720" w:hanging="360"/>
      </w:pPr>
      <w:r>
        <w:rPr>
          <w:color w:val="1F2937"/>
          <w:sz w:val="22"/>
          <w:szCs w:val="22"/>
        </w:rPr>
        <w:t xml:space="preserve">•  responsabile servizi</w:t>
      </w:r>
    </w:p>
    <w:p>
      <w:pPr>
        <w:spacing w:before="0" w:after="120" w:line="300" w:lineRule="auto"/>
        <w:ind w:left="720" w:hanging="360"/>
      </w:pPr>
      <w:r>
        <w:rPr>
          <w:color w:val="1F2937"/>
          <w:sz w:val="22"/>
          <w:szCs w:val="22"/>
        </w:rPr>
        <w:t xml:space="preserve">•  responsabile contabilità</w:t>
      </w:r>
    </w:p>
    <w:p>
      <w:pPr>
        <w:spacing w:before="0" w:after="120" w:line="300" w:lineRule="auto"/>
        <w:ind w:left="720" w:hanging="360"/>
      </w:pPr>
      <w:r>
        <w:rPr>
          <w:color w:val="1F2937"/>
          <w:sz w:val="22"/>
          <w:szCs w:val="22"/>
        </w:rPr>
        <w:t xml:space="preserve">•  incaricato delle idoneità e scadenze mediche</w:t>
      </w:r>
    </w:p>
    <w:p>
      <w:pPr>
        <w:spacing w:before="0" w:after="120" w:line="300" w:lineRule="auto"/>
        <w:ind w:left="720" w:hanging="360"/>
      </w:pPr>
      <w:r>
        <w:rPr>
          <w:color w:val="1F2937"/>
          <w:sz w:val="22"/>
          <w:szCs w:val="22"/>
        </w:rPr>
        <w:t xml:space="preserve">•  profilo di sola consultazione</w:t>
      </w:r>
    </w:p>
    <w:p>
      <w:pPr>
        <w:spacing w:before="0" w:after="120" w:line="300" w:lineRule="auto"/>
      </w:pPr>
      <w:r>
        <w:rPr>
          <w:color w:val="1F2937"/>
          <w:sz w:val="22"/>
          <w:szCs w:val="22"/>
        </w:rPr>
        <w:t xml:space="preserve">Il registro delle operazioni dovrebbe indicare almeno utente, data e ora, oggetto interessato, tipo di operazione, consultazione di dati sanitari, modifica, cancellazione, stampa, esportazione, backup, ripristino e variazione dei ruoli. Il log deve essere protetto da alterazioni, accessibile soltanto ai soggetti autorizzati e conservato per un periodo formalmente motivato.</w:t>
      </w:r>
    </w:p>
    <w:p>
      <w:pPr>
        <w:spacing w:before="0" w:after="120" w:line="300" w:lineRule="auto"/>
      </w:pPr>
      <w:r>
        <w:rPr>
          <w:color w:val="1F2937"/>
          <w:sz w:val="22"/>
          <w:szCs w:val="22"/>
        </w:rPr>
        <w:t xml:space="preserve">Sono inoltre consigliati il blocco dell’applicazione dopo inattività, la richiesta di nuova autenticazione per operazioni critiche e un meccanismo di ritardo o sospensione temporanea dopo ripetuti tentativi di login falliti.</w:t>
      </w:r>
    </w:p>
    <w:p>
      <w:pPr>
        <w:spacing w:before="320" w:after="140" w:line="300" w:lineRule="auto"/>
      </w:pPr>
      <w:r>
        <w:rPr>
          <w:b/>
          <w:color w:val="173A62"/>
          <w:sz w:val="30"/>
          <w:szCs w:val="30"/>
        </w:rPr>
        <w:t xml:space="preserve">9. Conservazione, cancellazione e backup</w:t>
      </w:r>
    </w:p>
    <w:p>
      <w:pPr>
        <w:spacing w:before="0" w:after="120" w:line="300" w:lineRule="auto"/>
      </w:pPr>
      <w:r>
        <w:rPr>
          <w:color w:val="1F2937"/>
          <w:sz w:val="22"/>
          <w:szCs w:val="22"/>
        </w:rPr>
        <w:t xml:space="preserve">La conservazione attuale dei backup è basata sul numero delle copie, non sul tempo o sulla categoria dei dati. Il titolare deve approvare un piano di conservazione che indichi, per ogni categoria, durata e motivazione giuridica.</w:t>
      </w:r>
    </w:p>
    <w:tbl>
      <w:tblPr>
        <w:tblW w:w="0" w:type="auto"/>
        <w:tblBorders>
          <w:top w:val="single" w:sz="4" w:color="AFC3D4"/>
          <w:left w:val="single" w:sz="4" w:color="AFC3D4"/>
          <w:bottom w:val="single" w:sz="4" w:color="AFC3D4"/>
          <w:right w:val="single" w:sz="4" w:color="AFC3D4"/>
          <w:insideH w:val="single" w:sz="4" w:color="D5E0E8"/>
          <w:insideV w:val="single" w:sz="4" w:color="D5E0E8"/>
        </w:tblBorders>
      </w:tblPr>
      <w:tblGrid>
        <w:gridCol w:w="2200"/>
        <w:gridCol w:w="3150"/>
        <w:gridCol w:w="3250"/>
      </w:tblGrid>
      <w:tr>
        <w:tc>
          <w:tcPr>
            <w:tcW w:w="2200" w:type="dxa"/>
            <w:shd w:fill="DCEAF4"/>
            <w:tcMar>
              <w:top w:w="90" w:type="dxa"/>
              <w:left w:w="100" w:type="dxa"/>
              <w:bottom w:w="90" w:type="dxa"/>
              <w:right w:w="100" w:type="dxa"/>
            </w:tcMar>
          </w:tcPr>
          <w:p>
            <w:pPr>
              <w:spacing w:after="0" w:line="260" w:lineRule="auto"/>
            </w:pPr>
            <w:r>
              <w:rPr>
                <w:b/>
                <w:color w:val="173A62"/>
                <w:sz w:val="19"/>
                <w:szCs w:val="19"/>
              </w:rPr>
              <w:t xml:space="preserve">Categoria</w:t>
            </w:r>
          </w:p>
        </w:tc>
        <w:tc>
          <w:tcPr>
            <w:tcW w:w="3150" w:type="dxa"/>
            <w:shd w:fill="DCEAF4"/>
            <w:tcMar>
              <w:top w:w="90" w:type="dxa"/>
              <w:left w:w="100" w:type="dxa"/>
              <w:bottom w:w="90" w:type="dxa"/>
              <w:right w:w="100" w:type="dxa"/>
            </w:tcMar>
          </w:tcPr>
          <w:p>
            <w:pPr>
              <w:spacing w:after="0" w:line="260" w:lineRule="auto"/>
            </w:pPr>
            <w:r>
              <w:rPr>
                <w:b/>
                <w:color w:val="173A62"/>
                <w:sz w:val="19"/>
                <w:szCs w:val="19"/>
              </w:rPr>
              <w:t xml:space="preserve">Termine indicativo</w:t>
            </w:r>
          </w:p>
        </w:tc>
        <w:tc>
          <w:tcPr>
            <w:tcW w:w="3250" w:type="dxa"/>
            <w:shd w:fill="DCEAF4"/>
            <w:tcMar>
              <w:top w:w="90" w:type="dxa"/>
              <w:left w:w="100" w:type="dxa"/>
              <w:bottom w:w="90" w:type="dxa"/>
              <w:right w:w="100" w:type="dxa"/>
            </w:tcMar>
          </w:tcPr>
          <w:p>
            <w:pPr>
              <w:spacing w:after="0" w:line="260" w:lineRule="auto"/>
            </w:pPr>
            <w:r>
              <w:rPr>
                <w:b/>
                <w:color w:val="173A62"/>
                <w:sz w:val="19"/>
                <w:szCs w:val="19"/>
              </w:rPr>
              <w:t xml:space="preserve">Motivazione</w:t>
            </w:r>
          </w:p>
        </w:tc>
      </w:tr>
      <w:tr>
        <w:tc>
          <w:tcPr>
            <w:tcW w:w="2200" w:type="dxa"/>
            <w:shd w:fill="FFFFFF"/>
            <w:tcMar>
              <w:top w:w="90" w:type="dxa"/>
              <w:left w:w="100" w:type="dxa"/>
              <w:bottom w:w="90" w:type="dxa"/>
              <w:right w:w="100" w:type="dxa"/>
            </w:tcMar>
          </w:tcPr>
          <w:p>
            <w:pPr>
              <w:spacing w:after="0" w:line="260" w:lineRule="auto"/>
            </w:pPr>
            <w:r>
              <w:rPr>
                <w:color w:val="1F2937"/>
                <w:sz w:val="19"/>
                <w:szCs w:val="19"/>
              </w:rPr>
              <w:t xml:space="preserve">Anagrafica attiva</w:t>
            </w:r>
          </w:p>
        </w:tc>
        <w:tc>
          <w:tcPr>
            <w:tcW w:w="3150" w:type="dxa"/>
            <w:shd w:fill="FFFFFF"/>
            <w:tcMar>
              <w:top w:w="90" w:type="dxa"/>
              <w:left w:w="100" w:type="dxa"/>
              <w:bottom w:w="90" w:type="dxa"/>
              <w:right w:w="100" w:type="dxa"/>
            </w:tcMar>
          </w:tcPr>
          <w:p>
            <w:pPr>
              <w:spacing w:after="0" w:line="260" w:lineRule="auto"/>
            </w:pPr>
            <w:r>
              <w:rPr>
                <w:color w:val="1F2937"/>
                <w:sz w:val="19"/>
                <w:szCs w:val="19"/>
              </w:rPr>
              <w:t xml:space="preserve">Durata del servizio</w:t>
            </w:r>
          </w:p>
        </w:tc>
        <w:tc>
          <w:tcPr>
            <w:tcW w:w="3250" w:type="dxa"/>
            <w:shd w:fill="FFFFFF"/>
            <w:tcMar>
              <w:top w:w="90" w:type="dxa"/>
              <w:left w:w="100" w:type="dxa"/>
              <w:bottom w:w="90" w:type="dxa"/>
              <w:right w:w="100" w:type="dxa"/>
            </w:tcMar>
          </w:tcPr>
          <w:p>
            <w:pPr>
              <w:spacing w:after="0" w:line="260" w:lineRule="auto"/>
            </w:pPr>
            <w:r>
              <w:rPr>
                <w:color w:val="1F2937"/>
                <w:sz w:val="19"/>
                <w:szCs w:val="19"/>
              </w:rPr>
              <w:t xml:space="preserve">Gestione del personale</w:t>
            </w:r>
          </w:p>
        </w:tc>
      </w:tr>
      <w:tr>
        <w:tc>
          <w:tcPr>
            <w:tcW w:w="2200" w:type="dxa"/>
            <w:shd w:fill="F7FAFC"/>
            <w:tcMar>
              <w:top w:w="90" w:type="dxa"/>
              <w:left w:w="100" w:type="dxa"/>
              <w:bottom w:w="90" w:type="dxa"/>
              <w:right w:w="100" w:type="dxa"/>
            </w:tcMar>
          </w:tcPr>
          <w:p>
            <w:pPr>
              <w:spacing w:after="0" w:line="260" w:lineRule="auto"/>
            </w:pPr>
            <w:r>
              <w:rPr>
                <w:color w:val="1F2937"/>
                <w:sz w:val="19"/>
                <w:szCs w:val="19"/>
              </w:rPr>
              <w:t xml:space="preserve">Personale cessato</w:t>
            </w:r>
          </w:p>
        </w:tc>
        <w:tc>
          <w:tcPr>
            <w:tcW w:w="3150" w:type="dxa"/>
            <w:shd w:fill="F7FAFC"/>
            <w:tcMar>
              <w:top w:w="90" w:type="dxa"/>
              <w:left w:w="100" w:type="dxa"/>
              <w:bottom w:w="90" w:type="dxa"/>
              <w:right w:w="100" w:type="dxa"/>
            </w:tcMar>
          </w:tcPr>
          <w:p>
            <w:pPr>
              <w:spacing w:after="0" w:line="260" w:lineRule="auto"/>
            </w:pPr>
            <w:r>
              <w:rPr>
                <w:color w:val="1F2937"/>
                <w:sz w:val="19"/>
                <w:szCs w:val="19"/>
              </w:rPr>
              <w:t xml:space="preserve">Da definire</w:t>
            </w:r>
          </w:p>
        </w:tc>
        <w:tc>
          <w:tcPr>
            <w:tcW w:w="3250" w:type="dxa"/>
            <w:shd w:fill="F7FAFC"/>
            <w:tcMar>
              <w:top w:w="90" w:type="dxa"/>
              <w:left w:w="100" w:type="dxa"/>
              <w:bottom w:w="90" w:type="dxa"/>
              <w:right w:w="100" w:type="dxa"/>
            </w:tcMar>
          </w:tcPr>
          <w:p>
            <w:pPr>
              <w:spacing w:after="0" w:line="260" w:lineRule="auto"/>
            </w:pPr>
            <w:r>
              <w:rPr>
                <w:color w:val="1F2937"/>
                <w:sz w:val="19"/>
                <w:szCs w:val="19"/>
              </w:rPr>
              <w:t xml:space="preserve">Obblighi amministrativi e storico</w:t>
            </w:r>
          </w:p>
        </w:tc>
      </w:tr>
      <w:tr>
        <w:tc>
          <w:tcPr>
            <w:tcW w:w="2200" w:type="dxa"/>
            <w:shd w:fill="FFFFFF"/>
            <w:tcMar>
              <w:top w:w="90" w:type="dxa"/>
              <w:left w:w="100" w:type="dxa"/>
              <w:bottom w:w="90" w:type="dxa"/>
              <w:right w:w="100" w:type="dxa"/>
            </w:tcMar>
          </w:tcPr>
          <w:p>
            <w:pPr>
              <w:spacing w:after="0" w:line="260" w:lineRule="auto"/>
            </w:pPr>
            <w:r>
              <w:rPr>
                <w:color w:val="1F2937"/>
                <w:sz w:val="19"/>
                <w:szCs w:val="19"/>
              </w:rPr>
              <w:t xml:space="preserve">Visite e idoneità</w:t>
            </w:r>
          </w:p>
        </w:tc>
        <w:tc>
          <w:tcPr>
            <w:tcW w:w="3150" w:type="dxa"/>
            <w:shd w:fill="FFFFFF"/>
            <w:tcMar>
              <w:top w:w="90" w:type="dxa"/>
              <w:left w:w="100" w:type="dxa"/>
              <w:bottom w:w="90" w:type="dxa"/>
              <w:right w:w="100" w:type="dxa"/>
            </w:tcMar>
          </w:tcPr>
          <w:p>
            <w:pPr>
              <w:spacing w:after="0" w:line="260" w:lineRule="auto"/>
            </w:pPr>
            <w:r>
              <w:rPr>
                <w:color w:val="1F2937"/>
                <w:sz w:val="19"/>
                <w:szCs w:val="19"/>
              </w:rPr>
              <w:t xml:space="preserve">Da definire con RPD e medico competente</w:t>
            </w:r>
          </w:p>
        </w:tc>
        <w:tc>
          <w:tcPr>
            <w:tcW w:w="3250" w:type="dxa"/>
            <w:shd w:fill="FFFFFF"/>
            <w:tcMar>
              <w:top w:w="90" w:type="dxa"/>
              <w:left w:w="100" w:type="dxa"/>
              <w:bottom w:w="90" w:type="dxa"/>
              <w:right w:w="100" w:type="dxa"/>
            </w:tcMar>
          </w:tcPr>
          <w:p>
            <w:pPr>
              <w:spacing w:after="0" w:line="260" w:lineRule="auto"/>
            </w:pPr>
            <w:r>
              <w:rPr>
                <w:color w:val="1F2937"/>
                <w:sz w:val="19"/>
                <w:szCs w:val="19"/>
              </w:rPr>
              <w:t xml:space="preserve">Normativa sanitaria e lavoristica</w:t>
            </w:r>
          </w:p>
        </w:tc>
      </w:tr>
      <w:tr>
        <w:tc>
          <w:tcPr>
            <w:tcW w:w="2200" w:type="dxa"/>
            <w:shd w:fill="F7FAFC"/>
            <w:tcMar>
              <w:top w:w="90" w:type="dxa"/>
              <w:left w:w="100" w:type="dxa"/>
              <w:bottom w:w="90" w:type="dxa"/>
              <w:right w:w="100" w:type="dxa"/>
            </w:tcMar>
          </w:tcPr>
          <w:p>
            <w:pPr>
              <w:spacing w:after="0" w:line="260" w:lineRule="auto"/>
            </w:pPr>
            <w:r>
              <w:rPr>
                <w:color w:val="1F2937"/>
                <w:sz w:val="19"/>
                <w:szCs w:val="19"/>
              </w:rPr>
              <w:t xml:space="preserve">Servizi operativi</w:t>
            </w:r>
          </w:p>
        </w:tc>
        <w:tc>
          <w:tcPr>
            <w:tcW w:w="3150" w:type="dxa"/>
            <w:shd w:fill="F7FAFC"/>
            <w:tcMar>
              <w:top w:w="90" w:type="dxa"/>
              <w:left w:w="100" w:type="dxa"/>
              <w:bottom w:w="90" w:type="dxa"/>
              <w:right w:w="100" w:type="dxa"/>
            </w:tcMar>
          </w:tcPr>
          <w:p>
            <w:pPr>
              <w:spacing w:after="0" w:line="260" w:lineRule="auto"/>
            </w:pPr>
            <w:r>
              <w:rPr>
                <w:color w:val="1F2937"/>
                <w:sz w:val="19"/>
                <w:szCs w:val="19"/>
              </w:rPr>
              <w:t xml:space="preserve">Da definire</w:t>
            </w:r>
          </w:p>
        </w:tc>
        <w:tc>
          <w:tcPr>
            <w:tcW w:w="3250" w:type="dxa"/>
            <w:shd w:fill="F7FAFC"/>
            <w:tcMar>
              <w:top w:w="90" w:type="dxa"/>
              <w:left w:w="100" w:type="dxa"/>
              <w:bottom w:w="90" w:type="dxa"/>
              <w:right w:w="100" w:type="dxa"/>
            </w:tcMar>
          </w:tcPr>
          <w:p>
            <w:pPr>
              <w:spacing w:after="0" w:line="260" w:lineRule="auto"/>
            </w:pPr>
            <w:r>
              <w:rPr>
                <w:color w:val="1F2937"/>
                <w:sz w:val="19"/>
                <w:szCs w:val="19"/>
              </w:rPr>
              <w:t xml:space="preserve">Obblighi di servizio e rendicontazione</w:t>
            </w:r>
          </w:p>
        </w:tc>
      </w:tr>
      <w:tr>
        <w:tc>
          <w:tcPr>
            <w:tcW w:w="2200" w:type="dxa"/>
            <w:shd w:fill="FFFFFF"/>
            <w:tcMar>
              <w:top w:w="90" w:type="dxa"/>
              <w:left w:w="100" w:type="dxa"/>
              <w:bottom w:w="90" w:type="dxa"/>
              <w:right w:w="100" w:type="dxa"/>
            </w:tcMar>
          </w:tcPr>
          <w:p>
            <w:pPr>
              <w:spacing w:after="0" w:line="260" w:lineRule="auto"/>
            </w:pPr>
            <w:r>
              <w:rPr>
                <w:color w:val="1F2937"/>
                <w:sz w:val="19"/>
                <w:szCs w:val="19"/>
              </w:rPr>
              <w:t xml:space="preserve">Contabilità</w:t>
            </w:r>
          </w:p>
        </w:tc>
        <w:tc>
          <w:tcPr>
            <w:tcW w:w="3150" w:type="dxa"/>
            <w:shd w:fill="FFFFFF"/>
            <w:tcMar>
              <w:top w:w="90" w:type="dxa"/>
              <w:left w:w="100" w:type="dxa"/>
              <w:bottom w:w="90" w:type="dxa"/>
              <w:right w:w="100" w:type="dxa"/>
            </w:tcMar>
          </w:tcPr>
          <w:p>
            <w:pPr>
              <w:spacing w:after="0" w:line="260" w:lineRule="auto"/>
            </w:pPr>
            <w:r>
              <w:rPr>
                <w:color w:val="1F2937"/>
                <w:sz w:val="19"/>
                <w:szCs w:val="19"/>
              </w:rPr>
              <w:t xml:space="preserve">Termine amministrativo applicabile</w:t>
            </w:r>
          </w:p>
        </w:tc>
        <w:tc>
          <w:tcPr>
            <w:tcW w:w="3250" w:type="dxa"/>
            <w:shd w:fill="FFFFFF"/>
            <w:tcMar>
              <w:top w:w="90" w:type="dxa"/>
              <w:left w:w="100" w:type="dxa"/>
              <w:bottom w:w="90" w:type="dxa"/>
              <w:right w:w="100" w:type="dxa"/>
            </w:tcMar>
          </w:tcPr>
          <w:p>
            <w:pPr>
              <w:spacing w:after="0" w:line="260" w:lineRule="auto"/>
            </w:pPr>
            <w:r>
              <w:rPr>
                <w:color w:val="1F2937"/>
                <w:sz w:val="19"/>
                <w:szCs w:val="19"/>
              </w:rPr>
              <w:t xml:space="preserve">Obblighi di legge</w:t>
            </w:r>
          </w:p>
        </w:tc>
      </w:tr>
      <w:tr>
        <w:tc>
          <w:tcPr>
            <w:tcW w:w="2200" w:type="dxa"/>
            <w:shd w:fill="F7FAFC"/>
            <w:tcMar>
              <w:top w:w="90" w:type="dxa"/>
              <w:left w:w="100" w:type="dxa"/>
              <w:bottom w:w="90" w:type="dxa"/>
              <w:right w:w="100" w:type="dxa"/>
            </w:tcMar>
          </w:tcPr>
          <w:p>
            <w:pPr>
              <w:spacing w:after="0" w:line="260" w:lineRule="auto"/>
            </w:pPr>
            <w:r>
              <w:rPr>
                <w:color w:val="1F2937"/>
                <w:sz w:val="19"/>
                <w:szCs w:val="19"/>
              </w:rPr>
              <w:t xml:space="preserve">Export temporanei</w:t>
            </w:r>
          </w:p>
        </w:tc>
        <w:tc>
          <w:tcPr>
            <w:tcW w:w="3150" w:type="dxa"/>
            <w:shd w:fill="F7FAFC"/>
            <w:tcMar>
              <w:top w:w="90" w:type="dxa"/>
              <w:left w:w="100" w:type="dxa"/>
              <w:bottom w:w="90" w:type="dxa"/>
              <w:right w:w="100" w:type="dxa"/>
            </w:tcMar>
          </w:tcPr>
          <w:p>
            <w:pPr>
              <w:spacing w:after="0" w:line="260" w:lineRule="auto"/>
            </w:pPr>
            <w:r>
              <w:rPr>
                <w:color w:val="1F2937"/>
                <w:sz w:val="19"/>
                <w:szCs w:val="19"/>
              </w:rPr>
              <w:t xml:space="preserve">Breve e automatizzato</w:t>
            </w:r>
          </w:p>
        </w:tc>
        <w:tc>
          <w:tcPr>
            <w:tcW w:w="3250" w:type="dxa"/>
            <w:shd w:fill="F7FAFC"/>
            <w:tcMar>
              <w:top w:w="90" w:type="dxa"/>
              <w:left w:w="100" w:type="dxa"/>
              <w:bottom w:w="90" w:type="dxa"/>
              <w:right w:w="100" w:type="dxa"/>
            </w:tcMar>
          </w:tcPr>
          <w:p>
            <w:pPr>
              <w:spacing w:after="0" w:line="260" w:lineRule="auto"/>
            </w:pPr>
            <w:r>
              <w:rPr>
                <w:color w:val="1F2937"/>
                <w:sz w:val="19"/>
                <w:szCs w:val="19"/>
              </w:rPr>
              <w:t xml:space="preserve">Trasmissione e rendicontazione</w:t>
            </w:r>
          </w:p>
        </w:tc>
      </w:tr>
      <w:tr>
        <w:tc>
          <w:tcPr>
            <w:tcW w:w="2200" w:type="dxa"/>
            <w:shd w:fill="FFFFFF"/>
            <w:tcMar>
              <w:top w:w="90" w:type="dxa"/>
              <w:left w:w="100" w:type="dxa"/>
              <w:bottom w:w="90" w:type="dxa"/>
              <w:right w:w="100" w:type="dxa"/>
            </w:tcMar>
          </w:tcPr>
          <w:p>
            <w:pPr>
              <w:spacing w:after="0" w:line="260" w:lineRule="auto"/>
            </w:pPr>
            <w:r>
              <w:rPr>
                <w:color w:val="1F2937"/>
                <w:sz w:val="19"/>
                <w:szCs w:val="19"/>
              </w:rPr>
              <w:t xml:space="preserve">Backup</w:t>
            </w:r>
          </w:p>
        </w:tc>
        <w:tc>
          <w:tcPr>
            <w:tcW w:w="3150" w:type="dxa"/>
            <w:shd w:fill="FFFFFF"/>
            <w:tcMar>
              <w:top w:w="90" w:type="dxa"/>
              <w:left w:w="100" w:type="dxa"/>
              <w:bottom w:w="90" w:type="dxa"/>
              <w:right w:w="100" w:type="dxa"/>
            </w:tcMar>
          </w:tcPr>
          <w:p>
            <w:pPr>
              <w:spacing w:after="0" w:line="260" w:lineRule="auto"/>
            </w:pPr>
            <w:r>
              <w:rPr>
                <w:color w:val="1F2937"/>
                <w:sz w:val="19"/>
                <w:szCs w:val="19"/>
              </w:rPr>
              <w:t xml:space="preserve">Finestra temporale documentata</w:t>
            </w:r>
          </w:p>
        </w:tc>
        <w:tc>
          <w:tcPr>
            <w:tcW w:w="3250" w:type="dxa"/>
            <w:shd w:fill="FFFFFF"/>
            <w:tcMar>
              <w:top w:w="90" w:type="dxa"/>
              <w:left w:w="100" w:type="dxa"/>
              <w:bottom w:w="90" w:type="dxa"/>
              <w:right w:w="100" w:type="dxa"/>
            </w:tcMar>
          </w:tcPr>
          <w:p>
            <w:pPr>
              <w:spacing w:after="0" w:line="260" w:lineRule="auto"/>
            </w:pPr>
            <w:r>
              <w:rPr>
                <w:color w:val="1F2937"/>
                <w:sz w:val="19"/>
                <w:szCs w:val="19"/>
              </w:rPr>
              <w:t xml:space="preserve">Continuità operativa</w:t>
            </w:r>
          </w:p>
        </w:tc>
      </w:tr>
    </w:tbl>
    <w:p>
      <w:pPr>
        <w:spacing w:before="0" w:after="120" w:line="300" w:lineRule="auto"/>
      </w:pPr>
      <w:r>
        <w:rPr>
          <w:color w:val="1F2937"/>
          <w:sz w:val="22"/>
          <w:szCs w:val="22"/>
        </w:rPr>
        <w:t xml:space="preserve">Quando una scheda viene cancellata, le copie di backup possono continuare a contenerla fino alla naturale scadenza. Questa situazione deve essere documentata e gestita impedendo l’uso ordinario dei dati cancellati, limitando gli accessi alle copie e prevedendo che un ripristino non reintroduca definitivamente informazioni già rimosse.</w:t>
      </w:r>
    </w:p>
    <w:p>
      <w:pPr>
        <w:spacing w:before="320" w:after="140" w:line="300" w:lineRule="auto"/>
      </w:pPr>
      <w:r>
        <w:rPr>
          <w:b/>
          <w:color w:val="173A62"/>
          <w:sz w:val="30"/>
          <w:szCs w:val="30"/>
        </w:rPr>
        <w:t xml:space="preserve">10. Esportazioni, stampe e scambio dati</w:t>
      </w:r>
    </w:p>
    <w:p>
      <w:pPr>
        <w:spacing w:before="0" w:after="120" w:line="300" w:lineRule="auto"/>
      </w:pPr>
      <w:r>
        <w:rPr>
          <w:color w:val="1F2937"/>
          <w:sz w:val="22"/>
          <w:szCs w:val="22"/>
        </w:rPr>
        <w:t xml:space="preserve">I file Word, Excel, CSV e .smzsvc possono contenere dati personali, operativi e contabili. Sono normali file leggibili e possono essere copiati o inviati senza passare dal controllo degli accessi dell’app.</w:t>
      </w:r>
    </w:p>
    <w:p>
      <w:pPr>
        <w:spacing w:before="0" w:after="120" w:line="300" w:lineRule="auto"/>
        <w:ind w:left="720" w:hanging="360"/>
      </w:pPr>
      <w:r>
        <w:rPr>
          <w:color w:val="1F2937"/>
          <w:sz w:val="22"/>
          <w:szCs w:val="22"/>
        </w:rPr>
        <w:t xml:space="preserve">•  mostrare un avviso prima di ogni esportazione</w:t>
      </w:r>
    </w:p>
    <w:p>
      <w:pPr>
        <w:spacing w:before="0" w:after="120" w:line="300" w:lineRule="auto"/>
        <w:ind w:left="720" w:hanging="360"/>
      </w:pPr>
      <w:r>
        <w:rPr>
          <w:color w:val="1F2937"/>
          <w:sz w:val="22"/>
          <w:szCs w:val="22"/>
        </w:rPr>
        <w:t xml:space="preserve">•  registrare chi ha creato il documento, quando e per quale finalità</w:t>
      </w:r>
    </w:p>
    <w:p>
      <w:pPr>
        <w:spacing w:before="0" w:after="120" w:line="300" w:lineRule="auto"/>
        <w:ind w:left="720" w:hanging="360"/>
      </w:pPr>
      <w:r>
        <w:rPr>
          <w:color w:val="1F2937"/>
          <w:sz w:val="22"/>
          <w:szCs w:val="22"/>
        </w:rPr>
        <w:t xml:space="preserve">•  apporre la dicitura «Contiene dati personali – uso riservato»</w:t>
      </w:r>
    </w:p>
    <w:p>
      <w:pPr>
        <w:spacing w:before="0" w:after="120" w:line="300" w:lineRule="auto"/>
        <w:ind w:left="720" w:hanging="360"/>
      </w:pPr>
      <w:r>
        <w:rPr>
          <w:color w:val="1F2937"/>
          <w:sz w:val="22"/>
          <w:szCs w:val="22"/>
        </w:rPr>
        <w:t xml:space="preserve">•  limitare i dati esportati a quelli indispensabili</w:t>
      </w:r>
    </w:p>
    <w:p>
      <w:pPr>
        <w:spacing w:before="0" w:after="120" w:line="300" w:lineRule="auto"/>
        <w:ind w:left="720" w:hanging="360"/>
      </w:pPr>
      <w:r>
        <w:rPr>
          <w:color w:val="1F2937"/>
          <w:sz w:val="22"/>
          <w:szCs w:val="22"/>
        </w:rPr>
        <w:t xml:space="preserve">•  salvare gli export soltanto in cartelle autorizzate</w:t>
      </w:r>
    </w:p>
    <w:p>
      <w:pPr>
        <w:spacing w:before="0" w:after="120" w:line="300" w:lineRule="auto"/>
        <w:ind w:left="720" w:hanging="360"/>
      </w:pPr>
      <w:r>
        <w:rPr>
          <w:color w:val="1F2937"/>
          <w:sz w:val="22"/>
          <w:szCs w:val="22"/>
        </w:rPr>
        <w:t xml:space="preserve">•  prevedere cancellazione automatica o revisione periodica degli export</w:t>
      </w:r>
    </w:p>
    <w:p>
      <w:pPr>
        <w:spacing w:before="0" w:after="120" w:line="300" w:lineRule="auto"/>
        <w:ind w:left="720" w:hanging="360"/>
      </w:pPr>
      <w:r>
        <w:rPr>
          <w:color w:val="1F2937"/>
          <w:sz w:val="22"/>
          <w:szCs w:val="22"/>
        </w:rPr>
        <w:t xml:space="preserve">•  cifrare i pacchetti destinati al trasferimento</w:t>
      </w:r>
    </w:p>
    <w:p>
      <w:pPr>
        <w:spacing w:before="0" w:after="120" w:line="300" w:lineRule="auto"/>
        <w:ind w:left="720" w:hanging="360"/>
      </w:pPr>
      <w:r>
        <w:rPr>
          <w:color w:val="1F2937"/>
          <w:sz w:val="22"/>
          <w:szCs w:val="22"/>
        </w:rPr>
        <w:t xml:space="preserve">•  evitare l’invio tramite posta personale o canali non approvati</w:t>
      </w:r>
    </w:p>
    <w:p>
      <w:pPr>
        <w:spacing w:before="320" w:after="140" w:line="300" w:lineRule="auto"/>
      </w:pPr>
      <w:r>
        <w:rPr>
          <w:b/>
          <w:color w:val="173A62"/>
          <w:sz w:val="30"/>
          <w:szCs w:val="30"/>
        </w:rPr>
        <w:t xml:space="preserve">11. Backup esterno, USB e cloud</w:t>
      </w:r>
    </w:p>
    <w:p>
      <w:pPr>
        <w:spacing w:before="0" w:after="120" w:line="300" w:lineRule="auto"/>
      </w:pPr>
      <w:r>
        <w:rPr>
          <w:color w:val="1F2937"/>
          <w:sz w:val="22"/>
          <w:szCs w:val="22"/>
        </w:rPr>
        <w:t xml:space="preserve">La procedura attuale consente l’uso di USB, cartelle di rete e cartelle sincronizzate. Le destinazioni devono essere preventivamente approvate dall’amministrazione. Una chiavetta contenente un backup non cifrato rappresenta un rischio elevato in caso di perdita o sottrazione.</w:t>
      </w:r>
    </w:p>
    <w:p>
      <w:pPr>
        <w:spacing w:before="0" w:after="120" w:line="300" w:lineRule="auto"/>
      </w:pPr>
      <w:r>
        <w:rPr>
          <w:color w:val="1F2937"/>
          <w:sz w:val="22"/>
          <w:szCs w:val="22"/>
        </w:rPr>
        <w:t xml:space="preserve">Per eventuali servizi cloud devono essere verificati almeno il fornitore autorizzato, il contratto da responsabile del trattamento, la localizzazione dei dati, gli eventuali trasferimenti verso paesi terzi, la cifratura, il controllo degli accessi, i tempi di conservazione e i log di sicurezza.</w:t>
      </w:r>
    </w:p>
    <w:p>
      <w:pPr>
        <w:spacing w:before="320" w:after="140" w:line="300" w:lineRule="auto"/>
      </w:pPr>
      <w:r>
        <w:rPr>
          <w:b/>
          <w:color w:val="173A62"/>
          <w:sz w:val="30"/>
          <w:szCs w:val="30"/>
        </w:rPr>
        <w:t xml:space="preserve">12. Diritti degli interessati</w:t>
      </w:r>
    </w:p>
    <w:p>
      <w:pPr>
        <w:spacing w:before="0" w:after="120" w:line="300" w:lineRule="auto"/>
      </w:pPr>
      <w:r>
        <w:rPr>
          <w:color w:val="1F2937"/>
          <w:sz w:val="22"/>
          <w:szCs w:val="22"/>
        </w:rPr>
        <w:t xml:space="preserve">L’app consente tecnicamente rettifica e cancellazione, ma non contiene un flusso dedicato alle richieste degli interessati. Il titolare deve disporre di una procedura per accesso, rettifica, cancellazione quando applicabile, limitazione e contestazione dell’esattezza dei dati.</w:t>
      </w:r>
    </w:p>
    <w:p>
      <w:pPr>
        <w:spacing w:before="0" w:after="120" w:line="300" w:lineRule="auto"/>
      </w:pPr>
      <w:r>
        <w:rPr>
          <w:color w:val="1F2937"/>
          <w:sz w:val="22"/>
          <w:szCs w:val="22"/>
        </w:rPr>
        <w:t xml:space="preserve">Occorre poter estrarre in forma comprensibile i dati riferiti a una persona, documentare la risposta e motivare eventuali limitazioni fondate su obblighi di legge, conservazione amministrativa o disciplina speciale applicabile.</w:t>
      </w:r>
    </w:p>
    <w:p>
      <w:pPr>
        <w:spacing w:before="320" w:after="140" w:line="300" w:lineRule="auto"/>
      </w:pPr>
      <w:r>
        <w:rPr>
          <w:b/>
          <w:color w:val="173A62"/>
          <w:sz w:val="30"/>
          <w:szCs w:val="30"/>
        </w:rPr>
        <w:t xml:space="preserve">13. Adempimenti organizzativi</w:t>
      </w:r>
    </w:p>
    <w:p>
      <w:pPr>
        <w:spacing w:before="0" w:after="120" w:line="300" w:lineRule="auto"/>
      </w:pPr>
      <w:r>
        <w:rPr>
          <w:color w:val="1F2937"/>
          <w:sz w:val="22"/>
          <w:szCs w:val="22"/>
        </w:rPr>
        <w:t xml:space="preserve">Nel progetto non risultano presenti documenti che identifichino titolare, RPD/DPO, finalità, basi giuridiche, informative, registro dei trattamenti, tempi di conservazione, autorizzazioni, procedura data breach o DPIA. Tali documenti potrebbero esistere nell’amministrazione, ma devono comprendere espressamente questo applicativo.</w:t>
      </w:r>
    </w:p>
    <w:p>
      <w:pPr>
        <w:spacing w:before="0" w:after="120" w:line="300" w:lineRule="auto"/>
        <w:ind w:left="720" w:hanging="360"/>
      </w:pPr>
      <w:r>
        <w:rPr>
          <w:color w:val="1F2937"/>
          <w:sz w:val="22"/>
          <w:szCs w:val="22"/>
        </w:rPr>
        <w:t xml:space="preserve">•  identificare formalmente titolare del trattamento e unità organizzative competenti</w:t>
      </w:r>
    </w:p>
    <w:p>
      <w:pPr>
        <w:spacing w:before="0" w:after="120" w:line="300" w:lineRule="auto"/>
        <w:ind w:left="720" w:hanging="360"/>
      </w:pPr>
      <w:r>
        <w:rPr>
          <w:color w:val="1F2937"/>
          <w:sz w:val="22"/>
          <w:szCs w:val="22"/>
        </w:rPr>
        <w:t xml:space="preserve">•  coinvolgere l’RPD/DPO e il responsabile della sicurezza informatica</w:t>
      </w:r>
    </w:p>
    <w:p>
      <w:pPr>
        <w:spacing w:before="0" w:after="120" w:line="300" w:lineRule="auto"/>
        <w:ind w:left="720" w:hanging="360"/>
      </w:pPr>
      <w:r>
        <w:rPr>
          <w:color w:val="1F2937"/>
          <w:sz w:val="22"/>
          <w:szCs w:val="22"/>
        </w:rPr>
        <w:t xml:space="preserve">•  aggiornare il registro delle attività di trattamento</w:t>
      </w:r>
    </w:p>
    <w:p>
      <w:pPr>
        <w:spacing w:before="0" w:after="120" w:line="300" w:lineRule="auto"/>
        <w:ind w:left="720" w:hanging="360"/>
      </w:pPr>
      <w:r>
        <w:rPr>
          <w:color w:val="1F2937"/>
          <w:sz w:val="22"/>
          <w:szCs w:val="22"/>
        </w:rPr>
        <w:t xml:space="preserve">•  definire finalità e basi giuridiche per ciascun modulo</w:t>
      </w:r>
    </w:p>
    <w:p>
      <w:pPr>
        <w:spacing w:before="0" w:after="120" w:line="300" w:lineRule="auto"/>
        <w:ind w:left="720" w:hanging="360"/>
      </w:pPr>
      <w:r>
        <w:rPr>
          <w:color w:val="1F2937"/>
          <w:sz w:val="22"/>
          <w:szCs w:val="22"/>
        </w:rPr>
        <w:t xml:space="preserve">•  predisporre o aggiornare l’informativa agli interessati</w:t>
      </w:r>
    </w:p>
    <w:p>
      <w:pPr>
        <w:spacing w:before="0" w:after="120" w:line="300" w:lineRule="auto"/>
        <w:ind w:left="720" w:hanging="360"/>
      </w:pPr>
      <w:r>
        <w:rPr>
          <w:color w:val="1F2937"/>
          <w:sz w:val="22"/>
          <w:szCs w:val="22"/>
        </w:rPr>
        <w:t xml:space="preserve">•  designare e istruire le persone autorizzate</w:t>
      </w:r>
    </w:p>
    <w:p>
      <w:pPr>
        <w:spacing w:before="0" w:after="120" w:line="300" w:lineRule="auto"/>
        <w:ind w:left="720" w:hanging="360"/>
      </w:pPr>
      <w:r>
        <w:rPr>
          <w:color w:val="1F2937"/>
          <w:sz w:val="22"/>
          <w:szCs w:val="22"/>
        </w:rPr>
        <w:t xml:space="preserve">•  approvare la politica di conservazione e cancellazione</w:t>
      </w:r>
    </w:p>
    <w:p>
      <w:pPr>
        <w:spacing w:before="0" w:after="120" w:line="300" w:lineRule="auto"/>
        <w:ind w:left="720" w:hanging="360"/>
      </w:pPr>
      <w:r>
        <w:rPr>
          <w:color w:val="1F2937"/>
          <w:sz w:val="22"/>
          <w:szCs w:val="22"/>
        </w:rPr>
        <w:t xml:space="preserve">•  effettuare uno screening DPIA e, se necessario, una DPIA completa</w:t>
      </w:r>
    </w:p>
    <w:p>
      <w:pPr>
        <w:spacing w:before="0" w:after="120" w:line="300" w:lineRule="auto"/>
        <w:ind w:left="720" w:hanging="360"/>
      </w:pPr>
      <w:r>
        <w:rPr>
          <w:color w:val="1F2937"/>
          <w:sz w:val="22"/>
          <w:szCs w:val="22"/>
        </w:rPr>
        <w:t xml:space="preserve">•  definire verifiche periodiche delle autorizzazioni e delle misure di sicurezza</w:t>
      </w:r>
    </w:p>
    <w:p>
      <w:pPr>
        <w:spacing w:before="0" w:after="120" w:line="300" w:lineRule="auto"/>
        <w:ind w:left="720" w:hanging="360"/>
      </w:pPr>
      <w:r>
        <w:rPr>
          <w:color w:val="1F2937"/>
          <w:sz w:val="22"/>
          <w:szCs w:val="22"/>
        </w:rPr>
        <w:t xml:space="preserve">•  formare gli operatori sull’uso corretto di dati, stampe, backup ed esportazioni</w:t>
      </w:r>
    </w:p>
    <w:p>
      <w:pPr>
        <w:spacing w:before="320" w:after="140" w:line="300" w:lineRule="auto"/>
      </w:pPr>
      <w:r>
        <w:rPr>
          <w:b/>
          <w:color w:val="173A62"/>
          <w:sz w:val="30"/>
          <w:szCs w:val="30"/>
        </w:rPr>
        <w:t xml:space="preserve">14. Gestione delle violazioni dei dati personali</w:t>
      </w:r>
    </w:p>
    <w:p>
      <w:pPr>
        <w:spacing w:before="0" w:after="120" w:line="300" w:lineRule="auto"/>
      </w:pPr>
      <w:r>
        <w:rPr>
          <w:color w:val="1F2937"/>
          <w:sz w:val="22"/>
          <w:szCs w:val="22"/>
        </w:rPr>
        <w:t xml:space="preserve">Deve essere predisposta una procedura per eventi quali furto o smarrimento del PC, perdita di una chiavetta, copia indebita del database, invio errato di un documento, malware, ransomware, accesso non autorizzato o cancellazione accidentale.</w:t>
      </w:r>
    </w:p>
    <w:p>
      <w:pPr>
        <w:spacing w:before="0" w:after="120" w:line="300" w:lineRule="auto"/>
      </w:pPr>
      <w:r>
        <w:rPr>
          <w:color w:val="1F2937"/>
          <w:sz w:val="22"/>
          <w:szCs w:val="22"/>
        </w:rPr>
        <w:t xml:space="preserve">Il titolare deve documentare tutte le violazioni. Quando la violazione può presentare un rischio per i diritti e le libertà delle persone, deve essere valutata la notifica al Garante senza ingiustificato ritardo e, ove possibile, entro 72 ore. Quando il rischio è elevato può essere necessaria anche la comunicazione agli interessati.</w:t>
      </w:r>
    </w:p>
    <w:p>
      <w:pPr>
        <w:spacing w:before="0" w:after="120" w:line="300" w:lineRule="auto"/>
      </w:pPr>
      <w:r>
        <w:rPr>
          <w:color w:val="1F2937"/>
          <w:sz w:val="22"/>
          <w:szCs w:val="22"/>
        </w:rPr>
        <w:t xml:space="preserve">La procedura dovrebbe indicare contatti interni, RPD/DPO, modalità di segnalazione, conservazione delle prove, contenimento, valutazione del rischio, decisione sulla notifica e registro degli incidenti.</w:t>
      </w:r>
    </w:p>
    <w:p>
      <w:pPr>
        <w:spacing w:before="320" w:after="140" w:line="300" w:lineRule="auto"/>
      </w:pPr>
      <w:r>
        <w:rPr>
          <w:b/>
          <w:color w:val="173A62"/>
          <w:sz w:val="30"/>
          <w:szCs w:val="30"/>
        </w:rPr>
        <w:t xml:space="preserve">15. Piano di intervento consigliato</w:t>
      </w:r>
    </w:p>
    <w:p>
      <w:pPr>
        <w:spacing w:before="240" w:after="100" w:line="300" w:lineRule="auto"/>
      </w:pPr>
      <w:r>
        <w:rPr>
          <w:b/>
          <w:color w:val="245B85"/>
          <w:sz w:val="25"/>
          <w:szCs w:val="25"/>
        </w:rPr>
        <w:t xml:space="preserve">Prima dell’uso formale con dati reali</w:t>
      </w:r>
    </w:p>
    <w:p>
      <w:pPr>
        <w:spacing w:before="0" w:after="120" w:line="300" w:lineRule="auto"/>
        <w:ind w:left="720" w:hanging="360"/>
      </w:pPr>
      <w:r>
        <w:rPr>
          <w:color w:val="1F2937"/>
          <w:sz w:val="22"/>
          <w:szCs w:val="22"/>
        </w:rPr>
        <w:t xml:space="preserve">1.  coinvolgere RPD/DPO e sicurezza informatica</w:t>
      </w:r>
    </w:p>
    <w:p>
      <w:pPr>
        <w:spacing w:before="0" w:after="120" w:line="300" w:lineRule="auto"/>
        <w:ind w:left="720" w:hanging="360"/>
      </w:pPr>
      <w:r>
        <w:rPr>
          <w:color w:val="1F2937"/>
          <w:sz w:val="22"/>
          <w:szCs w:val="22"/>
        </w:rPr>
        <w:t xml:space="preserve">2.  definire titolare, finalità, basi giuridiche e regime normativo applicabile</w:t>
      </w:r>
    </w:p>
    <w:p>
      <w:pPr>
        <w:spacing w:before="0" w:after="120" w:line="300" w:lineRule="auto"/>
        <w:ind w:left="720" w:hanging="360"/>
      </w:pPr>
      <w:r>
        <w:rPr>
          <w:color w:val="1F2937"/>
          <w:sz w:val="22"/>
          <w:szCs w:val="22"/>
        </w:rPr>
        <w:t xml:space="preserve">3.  aggiornare registro dei trattamenti, informativa e tempi di conservazione</w:t>
      </w:r>
    </w:p>
    <w:p>
      <w:pPr>
        <w:spacing w:before="0" w:after="120" w:line="300" w:lineRule="auto"/>
        <w:ind w:left="720" w:hanging="360"/>
      </w:pPr>
      <w:r>
        <w:rPr>
          <w:color w:val="1F2937"/>
          <w:sz w:val="22"/>
          <w:szCs w:val="22"/>
        </w:rPr>
        <w:t xml:space="preserve">4.  attivare BitLocker, account Windows individuali e blocco automatico</w:t>
      </w:r>
    </w:p>
    <w:p>
      <w:pPr>
        <w:spacing w:before="0" w:after="120" w:line="300" w:lineRule="auto"/>
        <w:ind w:left="720" w:hanging="360"/>
      </w:pPr>
      <w:r>
        <w:rPr>
          <w:color w:val="1F2937"/>
          <w:sz w:val="22"/>
          <w:szCs w:val="22"/>
        </w:rPr>
        <w:t xml:space="preserve">5.  vietare backup esterni non cifrati o non autorizzati</w:t>
      </w:r>
    </w:p>
    <w:p>
      <w:pPr>
        <w:spacing w:before="0" w:after="120" w:line="300" w:lineRule="auto"/>
        <w:ind w:left="720" w:hanging="360"/>
      </w:pPr>
      <w:r>
        <w:rPr>
          <w:color w:val="1F2937"/>
          <w:sz w:val="22"/>
          <w:szCs w:val="22"/>
        </w:rPr>
        <w:t xml:space="preserve">6.  ridurre al minimo il numero degli account Amministratore</w:t>
      </w:r>
    </w:p>
    <w:p>
      <w:pPr>
        <w:spacing w:before="0" w:after="120" w:line="300" w:lineRule="auto"/>
        <w:ind w:left="720" w:hanging="360"/>
      </w:pPr>
      <w:r>
        <w:rPr>
          <w:color w:val="1F2937"/>
          <w:sz w:val="22"/>
          <w:szCs w:val="22"/>
        </w:rPr>
        <w:t xml:space="preserve">7.  eseguire un test documentato di backup e ripristino</w:t>
      </w:r>
    </w:p>
    <w:p>
      <w:pPr>
        <w:spacing w:before="240" w:after="100" w:line="300" w:lineRule="auto"/>
      </w:pPr>
      <w:r>
        <w:rPr>
          <w:b/>
          <w:color w:val="245B85"/>
          <w:sz w:val="25"/>
          <w:szCs w:val="25"/>
        </w:rPr>
        <w:t xml:space="preserve">Modifiche prioritarie all’app</w:t>
      </w:r>
    </w:p>
    <w:p>
      <w:pPr>
        <w:spacing w:before="0" w:after="120" w:line="300" w:lineRule="auto"/>
        <w:ind w:left="720" w:hanging="360"/>
      </w:pPr>
      <w:r>
        <w:rPr>
          <w:color w:val="1F2937"/>
          <w:sz w:val="22"/>
          <w:szCs w:val="22"/>
        </w:rPr>
        <w:t xml:space="preserve">1.  cifratura di backup e pacchetti esportati</w:t>
      </w:r>
    </w:p>
    <w:p>
      <w:pPr>
        <w:spacing w:before="0" w:after="120" w:line="300" w:lineRule="auto"/>
        <w:ind w:left="720" w:hanging="360"/>
      </w:pPr>
      <w:r>
        <w:rPr>
          <w:color w:val="1F2937"/>
          <w:sz w:val="22"/>
          <w:szCs w:val="22"/>
        </w:rPr>
        <w:t xml:space="preserve">2.  ruoli più granulari, con separazione dei dati sanitari</w:t>
      </w:r>
    </w:p>
    <w:p>
      <w:pPr>
        <w:spacing w:before="0" w:after="120" w:line="300" w:lineRule="auto"/>
        <w:ind w:left="720" w:hanging="360"/>
      </w:pPr>
      <w:r>
        <w:rPr>
          <w:color w:val="1F2937"/>
          <w:sz w:val="22"/>
          <w:szCs w:val="22"/>
        </w:rPr>
        <w:t xml:space="preserve">3.  registro protetto delle operazioni</w:t>
      </w:r>
    </w:p>
    <w:p>
      <w:pPr>
        <w:spacing w:before="0" w:after="120" w:line="300" w:lineRule="auto"/>
        <w:ind w:left="720" w:hanging="360"/>
      </w:pPr>
      <w:r>
        <w:rPr>
          <w:color w:val="1F2937"/>
          <w:sz w:val="22"/>
          <w:szCs w:val="22"/>
        </w:rPr>
        <w:t xml:space="preserve">4.  blocco della sessione dopo inattività e protezione dai tentativi ripetuti</w:t>
      </w:r>
    </w:p>
    <w:p>
      <w:pPr>
        <w:spacing w:before="0" w:after="120" w:line="300" w:lineRule="auto"/>
        <w:ind w:left="720" w:hanging="360"/>
      </w:pPr>
      <w:r>
        <w:rPr>
          <w:color w:val="1F2937"/>
          <w:sz w:val="22"/>
          <w:szCs w:val="22"/>
        </w:rPr>
        <w:t xml:space="preserve">5.  politiche automatiche per export e conservazione</w:t>
      </w:r>
    </w:p>
    <w:p>
      <w:pPr>
        <w:spacing w:before="0" w:after="120" w:line="300" w:lineRule="auto"/>
        <w:ind w:left="720" w:hanging="360"/>
      </w:pPr>
      <w:r>
        <w:rPr>
          <w:color w:val="1F2937"/>
          <w:sz w:val="22"/>
          <w:szCs w:val="22"/>
        </w:rPr>
        <w:t xml:space="preserve">6.  riduzione dei dati sanitari e dei campi liberi</w:t>
      </w:r>
    </w:p>
    <w:p>
      <w:pPr>
        <w:spacing w:before="0" w:after="120" w:line="300" w:lineRule="auto"/>
        <w:ind w:left="720" w:hanging="360"/>
      </w:pPr>
      <w:r>
        <w:rPr>
          <w:color w:val="1F2937"/>
          <w:sz w:val="22"/>
          <w:szCs w:val="22"/>
        </w:rPr>
        <w:t xml:space="preserve">7.  classificazione di riservatezza sui documenti prodotti</w:t>
      </w:r>
    </w:p>
    <w:p>
      <w:pPr>
        <w:spacing w:before="0" w:after="120" w:line="300" w:lineRule="auto"/>
        <w:ind w:left="720" w:hanging="360"/>
      </w:pPr>
      <w:r>
        <w:rPr>
          <w:color w:val="1F2937"/>
          <w:sz w:val="22"/>
          <w:szCs w:val="22"/>
        </w:rPr>
        <w:t xml:space="preserve">8.  firma digitale dell’eseguibile e procedura controllata di aggiornamento</w:t>
      </w:r>
    </w:p>
    <w:p>
      <w:pPr>
        <w:spacing w:before="320" w:after="140" w:line="300" w:lineRule="auto"/>
      </w:pPr>
      <w:r>
        <w:rPr>
          <w:b/>
          <w:color w:val="173A62"/>
          <w:sz w:val="30"/>
          <w:szCs w:val="30"/>
        </w:rPr>
        <w:t xml:space="preserve">16. Valutazione conclusiva</w:t>
      </w:r>
    </w:p>
    <w:p>
      <w:pPr>
        <w:spacing w:before="0" w:after="120" w:line="300" w:lineRule="auto"/>
      </w:pPr>
      <w:r>
        <w:rPr>
          <w:color w:val="1F2937"/>
          <w:sz w:val="22"/>
          <w:szCs w:val="22"/>
        </w:rPr>
        <w:t xml:space="preserve">Il progetto non richiede una riscrittura completa. La struttura locale e la gestione delle password costituiscono una base valida. Le carenze principali riguardano però elementi essenziali per un trattamento che comprende dati sanitari e operativi: cifratura, separazione delle autorizzazioni, tracciamento, conservazione e accountability.</w:t>
      </w:r>
    </w:p>
    <w:p>
      <w:pPr>
        <w:spacing w:before="0" w:after="120" w:line="300" w:lineRule="auto"/>
      </w:pPr>
      <w:r>
        <w:rPr>
          <w:color w:val="1F2937"/>
          <w:sz w:val="22"/>
          <w:szCs w:val="22"/>
        </w:rPr>
        <w:t xml:space="preserve">La messa in esercizio dovrebbe essere subordinata alla validazione dell’RPD/DPO e del responsabile della sicurezza informatica, all’adozione delle misure organizzative e alla realizzazione almeno degli interventi tecnici ad alta priorità.</w:t>
      </w:r>
    </w:p>
    <w:p>
      <w:pPr>
        <w:spacing w:before="320" w:after="140" w:line="300" w:lineRule="auto"/>
      </w:pPr>
      <w:r>
        <w:rPr>
          <w:b/>
          <w:color w:val="173A62"/>
          <w:sz w:val="30"/>
          <w:szCs w:val="30"/>
        </w:rPr>
        <w:t xml:space="preserve">17. Fonti ufficiali</w:t>
      </w:r>
    </w:p>
    <w:p>
      <w:pPr>
        <w:spacing w:before="0" w:after="120" w:line="300" w:lineRule="auto"/>
        <w:ind w:left="720" w:hanging="360"/>
      </w:pPr>
      <w:r>
        <w:rPr>
          <w:color w:val="1F2937"/>
          <w:sz w:val="22"/>
          <w:szCs w:val="22"/>
        </w:rPr>
        <w:t xml:space="preserve">•  Regolamento (UE) 2016/679 – EUR-Lex: https://eur-lex.europa.eu/eli/reg/2016/679/oj</w:t>
      </w:r>
    </w:p>
    <w:p>
      <w:pPr>
        <w:spacing w:before="0" w:after="120" w:line="300" w:lineRule="auto"/>
        <w:ind w:left="720" w:hanging="360"/>
      </w:pPr>
      <w:r>
        <w:rPr>
          <w:color w:val="1F2937"/>
          <w:sz w:val="22"/>
          <w:szCs w:val="22"/>
        </w:rPr>
        <w:t xml:space="preserve">•  EDPB – Sicurezza dei dati personali: https://www.edpb.europa.eu/sme/be-compliant/secure-personal-data_en</w:t>
      </w:r>
    </w:p>
    <w:p>
      <w:pPr>
        <w:spacing w:before="0" w:after="120" w:line="300" w:lineRule="auto"/>
        <w:ind w:left="720" w:hanging="360"/>
      </w:pPr>
      <w:r>
        <w:rPr>
          <w:color w:val="1F2937"/>
          <w:sz w:val="22"/>
          <w:szCs w:val="22"/>
        </w:rPr>
        <w:t xml:space="preserve">•  EDPB – Violazioni dei dati personali: https://www.edpb.europa.eu/sme/assess-the-risks/data-breaches_en</w:t>
      </w:r>
    </w:p>
    <w:p>
      <w:pPr>
        <w:spacing w:before="0" w:after="120" w:line="300" w:lineRule="auto"/>
        <w:ind w:left="720" w:hanging="360"/>
      </w:pPr>
      <w:r>
        <w:rPr>
          <w:color w:val="1F2937"/>
          <w:sz w:val="22"/>
          <w:szCs w:val="22"/>
        </w:rPr>
        <w:t xml:space="preserve">•  Garante – Registro delle attività di trattamento: https://www.garanteprivacy.it/registro-delle-attivita-di-trattamento</w:t>
      </w:r>
    </w:p>
    <w:p>
      <w:pPr>
        <w:spacing w:before="0" w:after="120" w:line="300" w:lineRule="auto"/>
        <w:ind w:left="720" w:hanging="360"/>
      </w:pPr>
      <w:r>
        <w:rPr>
          <w:color w:val="1F2937"/>
          <w:sz w:val="22"/>
          <w:szCs w:val="22"/>
        </w:rPr>
        <w:t xml:space="preserve">•  Garante – Valutazione d’impatto DPIA: https://www.garanteprivacy.it/it/valutazione-d-impatto-della-protezione-dei-dati-dpia-</w:t>
      </w:r>
    </w:p>
    <w:p>
      <w:pPr>
        <w:spacing w:before="0" w:after="120" w:line="300" w:lineRule="auto"/>
        <w:ind w:left="720" w:hanging="360"/>
      </w:pPr>
      <w:r>
        <w:rPr>
          <w:color w:val="1F2937"/>
          <w:sz w:val="22"/>
          <w:szCs w:val="22"/>
        </w:rPr>
        <w:t xml:space="preserve">•  Garante – Data breach: https://www.garanteprivacy.it/data-breach</w:t>
      </w:r>
    </w:p>
    <w:p>
      <w:pPr>
        <w:spacing w:before="0" w:after="120" w:line="300" w:lineRule="auto"/>
        <w:ind w:left="720" w:hanging="360"/>
      </w:pPr>
      <w:r>
        <w:rPr>
          <w:color w:val="1F2937"/>
          <w:sz w:val="22"/>
          <w:szCs w:val="22"/>
        </w:rPr>
        <w:t xml:space="preserve">•  Garante – RPD in ambito pubblico: https://www.garanteprivacy.it/faq-sul-responsabile-della-protezione-dei-dati-rpd-in-ambito-pubblico</w:t>
      </w:r>
    </w:p>
    <w:p>
      <w:pPr>
        <w:spacing w:before="0" w:after="120" w:line="300" w:lineRule="auto"/>
        <w:ind w:left="720" w:hanging="360"/>
      </w:pPr>
      <w:r>
        <w:rPr>
          <w:color w:val="1F2937"/>
          <w:sz w:val="22"/>
          <w:szCs w:val="22"/>
        </w:rPr>
        <w:t xml:space="preserve">•  Garante – Amministratori di sistema: https://www.garanteprivacy.it/home/docweb/-/docweb-display/docweb/1577499</w:t>
      </w:r>
    </w:p>
    <w:p>
      <w:pPr>
        <w:spacing w:before="0" w:after="120" w:line="300" w:lineRule="auto"/>
        <w:ind w:left="720" w:hanging="360"/>
      </w:pPr>
      <w:r>
        <w:rPr>
          <w:color w:val="1F2937"/>
          <w:sz w:val="22"/>
          <w:szCs w:val="22"/>
        </w:rPr>
        <w:t xml:space="preserve">•  D.Lgs. 51/2018 – Normattiva: https://www.normattiva.it/atto/caricaDettaglioAtto?atto.codiceRedazionale=18G00080&amp;atto.dataPubblicazioneGazzetta=2018-05-24&amp;tipoDettaglio=originario</w:t>
      </w:r>
    </w:p>
    <w:sectPr>
      <w:pgSz w:w="11906" w:h="16838"/>
      <w:pgMar w:top="1134" w:right="1134" w:bottom="1134" w:left="1134" w:header="708" w:footer="708" w:gutter="0"/>
    </w:sectPr>
  </w:body>
</w:document>
</file>

<file path=word/settings.xml><?xml version="1.0" encoding="utf-8"?>
<w:settings xmlns:w="http://schemas.openxmlformats.org/wordprocessingml/2006/main">
  <w:zoom w:percent="95"/>
  <w:defaultTabStop w:val="720"/>
  <w:characterSpacingControl w:val="doNotCompress"/>
</w:settings>
</file>

<file path=word/styles.xml><?xml version="1.0" encoding="utf-8"?>
<w:styles xmlns:w="http://schemas.openxmlformats.org/wordprocessingml/2006/main">
  <w:docDefaults>
    <w:rPrDefault>
      <w:rPr>
        <w:rFonts w:ascii="Aptos" w:hAnsi="Aptos" w:eastAsia="Aptos" w:cs="Aptos"/>
        <w:sz w:val="22"/>
        <w:szCs w:val="22"/>
        <w:lang w:val="it-IT"/>
      </w:rPr>
    </w:rPrDefault>
    <w:pPrDefault>
      <w:pPr>
        <w:spacing w:after="120" w:line="30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 GDPR dell’applicazione SMZ</dc:title>
  <dc:subject>Valutazione tecnica e organizzativa preliminare</dc:subject>
  <dc:creator>Progetto SMZ</dc:creator>
  <cp:keywords>GDPR; RGPD; privacy; sicurezza; SMZ</cp:keywords>
  <dc:description>Analisi preliminare dei profili di protezione dei dati personali dell’applicazione SMZ.</dc:description>
  <dcterms:created xsi:type="dcterms:W3CDTF">2026-08-12T00:00:00Z</dcterms:created>
  <dcterms:modified xsi:type="dcterms:W3CDTF">2026-08-12T00:00:00Z</dcterms:modified>
</cp:coreProperties>
</file>