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0" w:after="40"/>
              <w:rPr/>
            </w:pPr>
            <w:r>
              <w:rPr>
                <w:highlight w:val="yellow"/>
              </w:rPr>
              <w:t>[DD Month YYYY]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0" w:after="40"/>
              <w:rPr/>
            </w:pPr>
            <w:r>
              <w:rPr>
                <w:highlight w:val="yellow"/>
              </w:rPr>
              <w:t>[Team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0" w:after="40"/>
              <w:rPr/>
            </w:pPr>
            <w:r>
              <w:t>Automated Network Request Management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r>
        <w:rPr>
          <w:b/>
        </w:rPr>
        <w:t>Team gathering.</w:t>
      </w:r>
      <w:r>
        <w:t xml:space="preserve"> The project team met to agree the problem to solve, the platform (ServiceNow) and the time available. Team members who took part: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464"/>
        <w:gridCol w:w="4464"/>
      </w:tblGrid>
      <w:tr>
        <w:trPr>
          <w:tblHeader w:val="true"/>
          <w:cantSplit w:val="true"/>
        </w:trPr>
        <w:tc>
          <w:tcPr>
            <w:tcW w:type="dxa" w:w="446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446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Role in brainstorming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before="0" w:after="40"/>
            </w:pPr>
            <w:r>
              <w:rPr>
                <w:sz w:val="19"/>
                <w:highlight w:val="yellow"/>
              </w:rPr>
              <w:t>[Team Leader / Team Members — names and roles]</w:t>
            </w:r>
          </w:p>
        </w:tc>
        <w:tc>
          <w:tcPr>
            <w:tcW w:type="dxa" w:w="4464"/>
          </w:tcPr>
          <w:p>
            <w:pPr>
              <w:spacing w:before="0" w:after="40"/>
            </w:pPr>
            <w:r>
              <w:rPr>
                <w:sz w:val="19"/>
                <w:highlight w:val="yellow"/>
              </w:rPr>
              <w:t>[Facilitator / Idea contributor]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before="0" w:after="40"/>
            </w:pPr>
            <w:r>
              <w:rPr>
                <w:sz w:val="19"/>
                <w:highlight w:val="yellow"/>
              </w:rPr>
              <w:t>[Name]</w:t>
            </w:r>
          </w:p>
        </w:tc>
        <w:tc>
          <w:tcPr>
            <w:tcW w:type="dxa" w:w="4464"/>
          </w:tcPr>
          <w:p>
            <w:pPr>
              <w:spacing w:before="0" w:after="40"/>
            </w:pPr>
            <w:r>
              <w:rPr>
                <w:sz w:val="19"/>
                <w:highlight w:val="yellow"/>
              </w:rPr>
              <w:t>[Role]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before="0" w:after="40"/>
            </w:pPr>
            <w:r>
              <w:rPr>
                <w:sz w:val="19"/>
                <w:highlight w:val="yellow"/>
              </w:rPr>
              <w:t>[Name]</w:t>
            </w:r>
          </w:p>
        </w:tc>
        <w:tc>
          <w:tcPr>
            <w:tcW w:type="dxa" w:w="4464"/>
          </w:tcPr>
          <w:p>
            <w:pPr>
              <w:spacing w:before="0" w:after="40"/>
            </w:pPr>
            <w:r>
              <w:rPr>
                <w:sz w:val="19"/>
                <w:highlight w:val="yellow"/>
              </w:rPr>
              <w:t>[Role]</w:t>
            </w:r>
          </w:p>
        </w:tc>
      </w:tr>
    </w:tbl>
    <w:p>
      <w:r>
        <w:rPr>
          <w:b/>
        </w:rPr>
        <w:t>Problem statement selected (How might we…?)</w:t>
      </w:r>
    </w:p>
    <w:p>
      <w:r>
        <w:rPr>
          <w:i/>
        </w:rPr>
        <w:t>How might we let users request a new or existing network connection through one structured ServiceNow form, and automatically record, acknowledge, approve and fulfil that request instead of handling it manually through phone calls and emails?</w:t>
      </w:r>
    </w:p>
    <w:p>
      <w:r>
        <w:rPr>
          <w:b/>
        </w:rPr>
        <w:t>Ground rules applied:</w:t>
      </w:r>
      <w:r>
        <w:t xml:space="preserve"> stay on topic, encourage wild ideas, defer judgement, build on the ideas of others, go for volume, and keep ideas visual.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>
      <w:r>
        <w:t>Every idea was written on a separate note and then grouped into five themes. Ideas are numbered I1–I18 so they can be traced into the prioritisation grid in Step-3.</w:t>
      </w:r>
    </w:p>
    <w:p>
      <w:pPr>
        <w:keepNext/>
        <w:jc w:val="center"/>
      </w:pPr>
      <w:r>
        <w:drawing>
          <wp:inline>
            <wp:extent cx="5715000" cy="2989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brainstorm_group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8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1: Brainstormed ideas grouped by theme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>
      <w:r>
        <w:t>Each idea was placed on an Importance × Feasibility grid. Green ideas were implemented in this project; orange ideas were judged valuable but were not implemented and are recorded as future scope.</w:t>
      </w:r>
    </w:p>
    <w:p>
      <w:pPr>
        <w:keepNext/>
        <w:jc w:val="center"/>
      </w:pPr>
      <w:r>
        <w:drawing>
          <wp:inline>
            <wp:extent cx="4480560" cy="3918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idea_priorit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1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2: Idea prioritisation (Importance vs Feasibility)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015"/>
        <w:gridCol w:w="2736"/>
        <w:gridCol w:w="4248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73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Ideas</w:t>
            </w:r>
          </w:p>
        </w:tc>
        <w:tc>
          <w:tcPr>
            <w:tcW w:type="dxa" w:w="424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Outcome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</w:rPr>
              <w:t>1 — Implement now</w:t>
            </w:r>
          </w:p>
        </w:tc>
        <w:tc>
          <w:tcPr>
            <w:tcW w:type="dxa" w:w="2736"/>
          </w:tcPr>
          <w:p>
            <w:pPr>
              <w:spacing w:before="0" w:after="40"/>
            </w:pPr>
            <w:r>
              <w:rPr>
                <w:sz w:val="18"/>
              </w:rPr>
              <w:t>I1, I2, I3, I4, I5, I6, I7, I8, I9, I10</w:t>
            </w:r>
          </w:p>
        </w:tc>
        <w:tc>
          <w:tcPr>
            <w:tcW w:type="dxa" w:w="4248"/>
          </w:tcPr>
          <w:p>
            <w:pPr>
              <w:spacing w:before="0" w:after="40"/>
            </w:pPr>
            <w:r>
              <w:rPr>
                <w:sz w:val="18"/>
              </w:rPr>
              <w:t>Implemented: catalog item, UI Policy, variable set, custom table, flow, approval, email record, status update, catalog task, approval relationship.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</w:rPr>
              <w:t>2 — Next increment</w:t>
            </w:r>
          </w:p>
        </w:tc>
        <w:tc>
          <w:tcPr>
            <w:tcW w:type="dxa" w:w="2736"/>
          </w:tcPr>
          <w:p>
            <w:pPr>
              <w:spacing w:before="0" w:after="40"/>
            </w:pPr>
            <w:r>
              <w:rPr>
                <w:sz w:val="18"/>
              </w:rPr>
              <w:t>I11, I12, I15, I18</w:t>
            </w:r>
          </w:p>
        </w:tc>
        <w:tc>
          <w:tcPr>
            <w:tcW w:type="dxa" w:w="4248"/>
          </w:tcPr>
          <w:p>
            <w:pPr>
              <w:spacing w:before="0" w:after="40"/>
            </w:pPr>
            <w:r>
              <w:rPr>
                <w:sz w:val="18"/>
              </w:rPr>
              <w:t>Not implemented. SMTP delivery, outcome emails, validation and assignment-group routing.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</w:rPr>
              <w:t>3 — Later</w:t>
            </w:r>
          </w:p>
        </w:tc>
        <w:tc>
          <w:tcPr>
            <w:tcW w:type="dxa" w:w="2736"/>
          </w:tcPr>
          <w:p>
            <w:pPr>
              <w:spacing w:before="0" w:after="40"/>
            </w:pPr>
            <w:r>
              <w:rPr>
                <w:sz w:val="18"/>
              </w:rPr>
              <w:t>I13, I14</w:t>
            </w:r>
          </w:p>
        </w:tc>
        <w:tc>
          <w:tcPr>
            <w:tcW w:type="dxa" w:w="4248"/>
          </w:tcPr>
          <w:p>
            <w:pPr>
              <w:spacing w:before="0" w:after="40"/>
            </w:pPr>
            <w:r>
              <w:rPr>
                <w:sz w:val="18"/>
              </w:rPr>
              <w:t>Not implemented. SLA and reporting dashboard.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</w:rPr>
              <w:t>4 — Deprioritised</w:t>
            </w:r>
          </w:p>
        </w:tc>
        <w:tc>
          <w:tcPr>
            <w:tcW w:type="dxa" w:w="2736"/>
          </w:tcPr>
          <w:p>
            <w:pPr>
              <w:spacing w:before="0" w:after="40"/>
            </w:pPr>
            <w:r>
              <w:rPr>
                <w:sz w:val="18"/>
              </w:rPr>
              <w:t>I16, I17</w:t>
            </w:r>
          </w:p>
        </w:tc>
        <w:tc>
          <w:tcPr>
            <w:tcW w:type="dxa" w:w="4248"/>
          </w:tcPr>
          <w:p>
            <w:pPr>
              <w:spacing w:before="0" w:after="40"/>
            </w:pPr>
            <w:r>
              <w:rPr>
                <w:sz w:val="18"/>
              </w:rPr>
              <w:t>Not implemented. Inventory/CMDB integration and chatbot intake.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