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spacing w:before="0" w:after="40"/>
              <w:rPr/>
            </w:pPr>
            <w:r>
              <w:rPr>
                <w:highlight w:val="yellow"/>
              </w:rPr>
              <w:t>[DD Month YYYY]</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spacing w:before="0" w:after="40"/>
              <w:rPr/>
            </w:pPr>
            <w:r>
              <w:rPr>
                <w:highlight w:val="yellow"/>
              </w:rPr>
              <w:t>[Team ID]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spacing w:before="0" w:after="40"/>
              <w:rPr/>
            </w:pPr>
            <w:r>
              <w:t>Automated Network Request Management in ServiceNow</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keepNext/>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
        <w:rPr>
          <w:b/>
        </w:rPr>
        <w:t>Empathy Map: Automated Network Request Management in ServiceNow</w:t>
      </w:r>
    </w:p>
    <w:p>
      <w:r>
        <w:rPr>
          <w:sz w:val="21"/>
        </w:rPr>
        <w:t>Persona: a requester who needs a new network connection or a change to an existing one, and who raises the request through the organisation's ServiceNow instance. The map was prepared by the project team from its analysis of the manual request process and of the implemented solution; it is not based on formal customer interviews.</w:t>
      </w:r>
    </w:p>
    <w:p>
      <w:pPr>
        <w:keepNext/>
        <w:jc w:val="center"/>
      </w:pPr>
      <w:r>
        <w:drawing>
          <wp:inline>
            <wp:extent cx="5715000" cy="4264143"/>
            <wp:docPr id="1" name="Picture 1"/>
            <wp:cNvGraphicFramePr>
              <a:graphicFrameLocks noChangeAspect="1"/>
            </wp:cNvGraphicFramePr>
            <a:graphic>
              <a:graphicData uri="http://schemas.openxmlformats.org/drawingml/2006/picture">
                <pic:pic>
                  <pic:nvPicPr>
                    <pic:cNvPr id="0" name="D7_empathy_map.png"/>
                    <pic:cNvPicPr/>
                  </pic:nvPicPr>
                  <pic:blipFill>
                    <a:blip r:embed="rId10"/>
                    <a:stretch>
                      <a:fillRect/>
                    </a:stretch>
                  </pic:blipFill>
                  <pic:spPr>
                    <a:xfrm>
                      <a:off x="0" y="0"/>
                      <a:ext cx="5715000" cy="4264143"/>
                    </a:xfrm>
                    <a:prstGeom prst="rect"/>
                  </pic:spPr>
                </pic:pic>
              </a:graphicData>
            </a:graphic>
          </wp:inline>
        </w:drawing>
      </w:r>
    </w:p>
    <w:p>
      <w:pPr>
        <w:spacing w:after="160"/>
        <w:jc w:val="center"/>
      </w:pPr>
      <w:r>
        <w:rPr>
          <w:i/>
          <w:sz w:val="19"/>
        </w:rPr>
        <w:t>Figure 1: Empathy map — Network service requester</w:t>
      </w:r>
    </w:p>
    <w:p>
      <w:r>
        <w:rPr>
          <w:b/>
          <w:sz w:val="21"/>
        </w:rPr>
        <w:t>Key insight:</w:t>
      </w:r>
      <w:r>
        <w:rPr>
          <w:sz w:val="21"/>
        </w:rPr>
        <w:t xml:space="preserve"> the requester's main pains are lack of status visibility and repeated data entry. The solution answers these with a single catalog form, dynamic fields, pre-filled requester details, and an automated record, approval and acknowledgement. Delivery of the acknowledgement email still depends on SMTP configuration.</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