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rPr>
          <w:cantSplit w:val="true"/>
        </w:trPr>
        <w:tc>
          <w:tcPr>
            <w:tcW w:w="4508" w:type="dxa"/>
          </w:tcPr>
          <w:p w14:paraId="29CE5A4C" w14:textId="77777777" w:rsidR="004360B1" w:rsidRDefault="00000000">
            <w:r>
              <w:t>Date</w:t>
            </w:r>
          </w:p>
        </w:tc>
        <w:tc>
          <w:tcPr>
            <w:tcW w:w="4508" w:type="dxa"/>
          </w:tcPr>
          <w:p w14:paraId="6C6AD7EB" w14:textId="345E05B3" w:rsidR="004360B1" w:rsidRDefault="00CD4BE3">
            <w:pPr>
              <w:spacing w:before="0" w:after="40"/>
            </w:pPr>
            <w:r>
              <w:rPr>
                <w:highlight w:val="yellow"/>
              </w:rPr>
              <w:t>[DD Month YYYY]</w:t>
            </w:r>
          </w:p>
        </w:tc>
      </w:tr>
      <w:tr w:rsidR="004360B1" w14:paraId="7890E6B7" w14:textId="77777777">
        <w:trPr>
          <w:cantSplit w:val="true"/>
        </w:trPr>
        <w:tc>
          <w:tcPr>
            <w:tcW w:w="4508" w:type="dxa"/>
          </w:tcPr>
          <w:p w14:paraId="0C019381" w14:textId="77777777" w:rsidR="004360B1" w:rsidRDefault="00000000">
            <w:r>
              <w:t>Team ID</w:t>
            </w:r>
          </w:p>
        </w:tc>
        <w:tc>
          <w:tcPr>
            <w:tcW w:w="4508" w:type="dxa"/>
          </w:tcPr>
          <w:p w14:paraId="3384612E" w14:textId="64E2C7D4" w:rsidR="004360B1" w:rsidRDefault="004360B1">
            <w:pPr>
              <w:spacing w:before="0" w:after="40"/>
            </w:pPr>
            <w:r>
              <w:rPr>
                <w:highlight w:val="yellow"/>
              </w:rPr>
              <w:t>[Team ID]</w:t>
            </w:r>
          </w:p>
        </w:tc>
      </w:tr>
      <w:tr w:rsidR="004360B1" w14:paraId="51E034FC" w14:textId="77777777">
        <w:trPr>
          <w:cantSplit w:val="true"/>
        </w:trPr>
        <w:tc>
          <w:tcPr>
            <w:tcW w:w="4508" w:type="dxa"/>
          </w:tcPr>
          <w:p w14:paraId="69F005D8" w14:textId="77777777" w:rsidR="004360B1" w:rsidRDefault="00000000">
            <w:r>
              <w:t>Project Name</w:t>
            </w:r>
          </w:p>
        </w:tc>
        <w:tc>
          <w:tcPr>
            <w:tcW w:w="4508" w:type="dxa"/>
          </w:tcPr>
          <w:p w14:paraId="381D29FA" w14:textId="6B18FD7C" w:rsidR="004360B1" w:rsidRDefault="004360B1">
            <w:pPr>
              <w:spacing w:before="0" w:after="40"/>
            </w:pPr>
            <w:r>
              <w:t>Automated Network Request Management in ServiceNow</w:t>
            </w:r>
          </w:p>
        </w:tc>
      </w:tr>
      <w:tr w:rsidR="004360B1" w14:paraId="22167E14" w14:textId="77777777">
        <w:trPr>
          <w:cantSplit w:val="true"/>
        </w:trPr>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keepNext/>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keepNext/>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keepNext/>
        <w:rPr>
          <w:b/>
        </w:rPr>
      </w:pPr>
      <w:r>
        <w:rPr>
          <w:b/>
        </w:rPr>
        <w:t>Template: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024"/>
        <w:gridCol w:w="3024"/>
        <w:gridCol w:w="3024"/>
      </w:tblGrid>
      <w:tr>
        <w:trPr>
          <w:tblHeader w:val="true"/>
          <w:cantSplit w:val="true"/>
        </w:trPr>
        <w:tc>
          <w:tcPr>
            <w:tcW w:type="dxa" w:w="3024"/>
            <w:shd w:val="clear" w:color="auto" w:fill="D9E2F3"/>
          </w:tcPr>
          <w:p>
            <w:pPr>
              <w:spacing w:before="0" w:after="40"/>
            </w:pPr>
            <w:r>
              <w:rPr>
                <w:b/>
                <w:sz w:val="18"/>
              </w:rPr>
              <w:t>Define CS, fit into CC</w:t>
            </w:r>
          </w:p>
        </w:tc>
        <w:tc>
          <w:tcPr>
            <w:tcW w:type="dxa" w:w="3024"/>
            <w:shd w:val="clear" w:color="auto" w:fill="D9E2F3"/>
          </w:tcPr>
          <w:p>
            <w:pPr>
              <w:spacing w:before="0" w:after="40"/>
            </w:pPr>
            <w:r>
              <w:rPr>
                <w:b/>
                <w:sz w:val="18"/>
              </w:rPr>
              <w:t>Focus on J&amp;P, tap into BE, understand RC</w:t>
            </w:r>
          </w:p>
        </w:tc>
        <w:tc>
          <w:tcPr>
            <w:tcW w:type="dxa" w:w="3024"/>
            <w:shd w:val="clear" w:color="auto" w:fill="D9E2F3"/>
          </w:tcPr>
          <w:p>
            <w:pPr>
              <w:spacing w:before="0" w:after="40"/>
            </w:pPr>
            <w:r>
              <w:rPr>
                <w:b/>
                <w:sz w:val="18"/>
              </w:rPr>
              <w:t>Explore AS, differentiate / Extract CH</w:t>
            </w:r>
          </w:p>
        </w:tc>
      </w:tr>
      <w:tr>
        <w:trPr>
          <w:cantSplit w:val="true"/>
        </w:trPr>
        <w:tc>
          <w:tcPr>
            <w:tcW w:type="dxa" w:w="3024"/>
            <w:shd w:val="clear" w:color="auto" w:fill="FCE4EC"/>
          </w:tcPr>
          <w:p>
            <w:pPr>
              <w:spacing w:before="0" w:after="40"/>
            </w:pPr>
            <w:r>
              <w:rPr>
                <w:b/>
                <w:sz w:val="18"/>
              </w:rPr>
              <w:t>1. CUSTOMER SEGMENT(S) — CS</w:t>
            </w:r>
          </w:p>
          <w:p>
            <w:pPr>
              <w:spacing w:after="40" w:before="0"/>
            </w:pPr>
            <w:r>
              <w:rPr>
                <w:sz w:val="18"/>
              </w:rPr>
              <w:t>Users who need a new or existing network connection; Network Team members and approvers who process those requests.</w:t>
            </w:r>
          </w:p>
        </w:tc>
        <w:tc>
          <w:tcPr>
            <w:tcW w:type="dxa" w:w="3024"/>
            <w:shd w:val="clear" w:color="auto" w:fill="E8EAF6"/>
          </w:tcPr>
          <w:p>
            <w:pPr>
              <w:spacing w:before="0" w:after="40"/>
            </w:pPr>
            <w:r>
              <w:rPr>
                <w:b/>
                <w:sz w:val="18"/>
              </w:rPr>
              <w:t>6. CUSTOMER CONSTRAINTS — CC</w:t>
            </w:r>
          </w:p>
          <w:p>
            <w:pPr>
              <w:spacing w:after="40" w:before="0"/>
            </w:pPr>
            <w:r>
              <w:rPr>
                <w:sz w:val="18"/>
              </w:rPr>
              <w:t>Must work inside the organisation's ServiceNow instance; approval needs an authorised approver; email delivery needs SMTP configuration; users expect minimal data entry.</w:t>
            </w:r>
          </w:p>
        </w:tc>
        <w:tc>
          <w:tcPr>
            <w:tcW w:type="dxa" w:w="3024"/>
            <w:shd w:val="clear" w:color="auto" w:fill="FFF3E0"/>
          </w:tcPr>
          <w:p>
            <w:pPr>
              <w:spacing w:before="0" w:after="40"/>
            </w:pPr>
            <w:r>
              <w:rPr>
                <w:b/>
                <w:sz w:val="18"/>
              </w:rPr>
              <w:t>5. AVAILABLE SOLUTIONS — AS</w:t>
            </w:r>
          </w:p>
          <w:p>
            <w:pPr>
              <w:spacing w:after="40" w:before="0"/>
            </w:pPr>
            <w:r>
              <w:rPr>
                <w:sz w:val="18"/>
              </w:rPr>
              <w:t>Phone calls, emails, paper or spreadsheet forms, generic IT tickets. Pros: familiar. Cons: untracked, inconsistent details, no approval trail, no status visibility.</w:t>
            </w:r>
          </w:p>
        </w:tc>
      </w:tr>
      <w:tr>
        <w:trPr>
          <w:cantSplit w:val="true"/>
        </w:trPr>
        <w:tc>
          <w:tcPr>
            <w:tcW w:type="dxa" w:w="3024"/>
            <w:shd w:val="clear" w:color="auto" w:fill="FCE4EC"/>
          </w:tcPr>
          <w:p>
            <w:pPr>
              <w:spacing w:before="0" w:after="40"/>
            </w:pPr>
            <w:r>
              <w:rPr>
                <w:b/>
                <w:sz w:val="18"/>
              </w:rPr>
              <w:t>2. JOBS-TO-BE-DONE / PROBLEMS — J&amp;P</w:t>
            </w:r>
          </w:p>
          <w:p>
            <w:pPr>
              <w:spacing w:after="40" w:before="0"/>
            </w:pPr>
            <w:r>
              <w:rPr>
                <w:sz w:val="18"/>
              </w:rPr>
              <w:t>Request a New or Existing connection with the right details; get it approved; get it fulfilled; know its status.</w:t>
            </w:r>
          </w:p>
        </w:tc>
        <w:tc>
          <w:tcPr>
            <w:tcW w:type="dxa" w:w="3024"/>
            <w:shd w:val="clear" w:color="auto" w:fill="E8EAF6"/>
          </w:tcPr>
          <w:p>
            <w:pPr>
              <w:spacing w:before="0" w:after="40"/>
            </w:pPr>
            <w:r>
              <w:rPr>
                <w:b/>
                <w:sz w:val="18"/>
              </w:rPr>
              <w:t>9. PROBLEM ROOT CAUSE — RC</w:t>
            </w:r>
          </w:p>
          <w:p>
            <w:pPr>
              <w:spacing w:after="40" w:before="0"/>
            </w:pPr>
            <w:r>
              <w:rPr>
                <w:sz w:val="18"/>
              </w:rPr>
              <w:t>No single structured intake channel; records and approvals are maintained manually; nothing links the request, its record, the approval and the fulfilment task.</w:t>
            </w:r>
          </w:p>
        </w:tc>
        <w:tc>
          <w:tcPr>
            <w:tcW w:type="dxa" w:w="3024"/>
            <w:shd w:val="clear" w:color="auto" w:fill="FFF3E0"/>
          </w:tcPr>
          <w:p>
            <w:pPr>
              <w:spacing w:before="0" w:after="40"/>
            </w:pPr>
            <w:r>
              <w:rPr>
                <w:b/>
                <w:sz w:val="18"/>
              </w:rPr>
              <w:t>7. BEHAVIOUR — BE</w:t>
            </w:r>
          </w:p>
          <w:p>
            <w:pPr>
              <w:spacing w:after="40" w:before="0"/>
            </w:pPr>
            <w:r>
              <w:rPr>
                <w:sz w:val="18"/>
              </w:rPr>
              <w:t>Users re-send their address and mobile number, follow up by phone or email, and wait for updates; the team re-keys details and chases approvals.</w:t>
            </w:r>
          </w:p>
        </w:tc>
      </w:tr>
      <w:tr>
        <w:trPr>
          <w:cantSplit w:val="true"/>
        </w:trPr>
        <w:tc>
          <w:tcPr>
            <w:tcW w:type="dxa" w:w="3024"/>
            <w:shd w:val="clear" w:color="auto" w:fill="FCE4EC"/>
          </w:tcPr>
          <w:p>
            <w:pPr>
              <w:spacing w:before="0" w:after="40"/>
            </w:pPr>
            <w:r>
              <w:rPr>
                <w:b/>
                <w:sz w:val="18"/>
              </w:rPr>
              <w:t>3. TRIGGERS — TR</w:t>
            </w:r>
          </w:p>
          <w:p>
            <w:pPr>
              <w:spacing w:after="40" w:before="0"/>
            </w:pPr>
            <w:r>
              <w:rPr>
                <w:sz w:val="18"/>
              </w:rPr>
              <w:t>A new connection is needed (new joiner, relocation) or an existing connection needs attention; colleagues already use the Service Catalog.</w:t>
            </w:r>
          </w:p>
        </w:tc>
        <w:tc>
          <w:tcPr>
            <w:tcW w:type="dxa" w:w="3024"/>
            <w:shd w:val="clear" w:color="auto" w:fill="E8EAF6"/>
          </w:tcPr>
          <w:p>
            <w:pPr>
              <w:spacing w:before="0" w:after="40"/>
            </w:pPr>
            <w:r>
              <w:rPr>
                <w:b/>
                <w:sz w:val="18"/>
              </w:rPr>
              <w:t>10. YOUR SOLUTION — SL</w:t>
            </w:r>
          </w:p>
          <w:p>
            <w:pPr>
              <w:spacing w:after="40" w:before="0"/>
            </w:pPr>
            <w:r>
              <w:rPr>
                <w:sz w:val="18"/>
              </w:rPr>
              <w:t>The Network Request catalog item, with dynamic fields (UI Policy) and pre-filled requester details, plus the Network Request Automation flow. The flow creates the Database Tables record, generates an acknowledgement email record, asks for approval and updates Approval Status. The Network Team closes the catalog task.</w:t>
            </w:r>
          </w:p>
        </w:tc>
        <w:tc>
          <w:tcPr>
            <w:tcW w:type="dxa" w:w="3024"/>
            <w:shd w:val="clear" w:color="auto" w:fill="FFF3E0"/>
          </w:tcPr>
          <w:p>
            <w:pPr>
              <w:spacing w:before="0" w:after="40"/>
            </w:pPr>
            <w:r>
              <w:rPr>
                <w:b/>
                <w:sz w:val="18"/>
              </w:rPr>
              <w:t>8. CHANNELS of BEHAVIOUR — CH</w:t>
            </w:r>
          </w:p>
          <w:p>
            <w:pPr>
              <w:spacing w:after="40" w:before="0"/>
            </w:pPr>
            <w:r>
              <w:rPr>
                <w:sz w:val="18"/>
              </w:rPr>
              <w:t>8.1 Online: Service Catalog, approval records, email notifications (once SMTP is configured).</w:t>
            </w:r>
          </w:p>
          <w:p>
            <w:pPr>
              <w:spacing w:after="40" w:before="0"/>
            </w:pPr>
            <w:r>
              <w:rPr>
                <w:sz w:val="18"/>
              </w:rPr>
              <w:t>8.2 Offline: speaking to the Network Team; phone follow-ups (should reduce).</w:t>
            </w:r>
          </w:p>
        </w:tc>
      </w:tr>
      <w:tr>
        <w:trPr>
          <w:cantSplit w:val="true"/>
        </w:trPr>
        <w:tc>
          <w:tcPr>
            <w:tcW w:type="dxa" w:w="3024"/>
            <w:shd w:val="clear" w:color="auto" w:fill="FCE4EC"/>
          </w:tcPr>
          <w:p>
            <w:pPr>
              <w:spacing w:before="0" w:after="40"/>
            </w:pPr>
            <w:r>
              <w:rPr>
                <w:b/>
                <w:sz w:val="18"/>
              </w:rPr>
              <w:t>4. EMOTIONS: BEFORE / AFTER — EM</w:t>
            </w:r>
          </w:p>
          <w:p>
            <w:pPr>
              <w:spacing w:after="40" w:before="0"/>
            </w:pPr>
            <w:r>
              <w:rPr>
                <w:sz w:val="18"/>
              </w:rPr>
              <w:t>Before: uncertain, frustrated, ignored.</w:t>
            </w:r>
          </w:p>
          <w:p>
            <w:pPr>
              <w:spacing w:after="40" w:before="0"/>
            </w:pPr>
            <w:r>
              <w:rPr>
                <w:sz w:val="18"/>
              </w:rPr>
              <w:t>After: confident and informed — the request is recorded and has an approval trail.</w:t>
            </w:r>
          </w:p>
        </w:tc>
        <w:tc>
          <w:tcPr>
            <w:tcW w:type="dxa" w:w="6048"/>
            <w:gridSpan w:val="2"/>
            <w:shd w:val="clear" w:color="auto" w:fill="E8F5E9"/>
          </w:tcPr>
          <w:p>
            <w:pPr>
              <w:spacing w:before="0" w:after="40"/>
            </w:pPr>
            <w:r>
              <w:rPr>
                <w:b/>
                <w:sz w:val="18"/>
              </w:rPr>
              <w:t>Problem–Solution fit:</w:t>
            </w:r>
            <w:r>
              <w:rPr>
                <w:sz w:val="18"/>
              </w:rPr>
              <w:t xml:space="preserve"> the solution uses a channel the users already have (Service Catalog), removes the root cause (no structured, connected process) and addresses the main behaviours (re-sending details, chasing status).</w:t>
            </w:r>
          </w:p>
        </w:tc>
      </w:tr>
    </w:tbl>
    <w:p w14:paraId="7EEF967C" w14:textId="77777777" w:rsidR="004360B1" w:rsidRDefault="00000000">
      <w:pPr>
        <w:keepNext/>
      </w:pPr>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