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 VALUATION STATEMENT</w:t>
      </w:r>
    </w:p>
    <w:p>
      <w:pPr>
        <w:pStyle w:val="Heading2"/>
      </w:pPr>
      <w:r>
        <w:t xml:space="preserve">Co-operative / Regional Rural Bank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I - APPLICANT PARTICULARS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Name of Applicant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"Vendee" or "SECOND PART"}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Father's / Husband's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Address with Phone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Purpose of Loan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Purchase Loan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II - PROPERTY IDENTIFICATION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Khata No. / Patta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Survey No. / Hissa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Village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Taluka / Mandal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District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Coming Under Gram Panchayat / Municipality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III - REVENUE RECORD VERIFICATION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Pahani / RTC Extract Verified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Mutation Entry Verified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Conversion Order (Agricultural to Non-Agri), if any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Sale Deed Reference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"AND" or "Vendee"}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IV - PHYSICAL DESCRIPTION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 of Structure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RCC / Tiled / Thatched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Age of Building (Years)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Extent of Land (in acres / guntas / 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Boundaries - North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Boundaries - South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Boundaries - East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Boundaries - West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V - VALUATION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Guideline Value (Rs. per unit)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Market Value Adopted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Total Valuation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Signature of Valuer with Seal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240" w:before="0"/>
      <w:jc w:val="center"/>
      <w:outlineLvl w:val="1"/>
    </w:pPr>
    <w:rPr>
      <w:rFonts w:ascii="Arial" w:cs="Arial" w:eastAsia="Arial" w:hAnsi="Arial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2026-06-19T06:56:10.913Z</dcterms:created>
  <dcterms:modified xsi:type="dcterms:W3CDTF">2026-06-19T06:56:10.913Z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