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drawing>
                <wp:inline distT="0" distB="0" distL="0" distR="0">
                  <wp:extent cx="1333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drawing>
                <wp:inline distT="0" distB="0" distL="0" distR="0">
                  <wp:extent cx="1333500" cy="561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200"/>
        <w:jc w:val="center"/>
      </w:pPr>
      <w:r>
        <w:rPr>
          <w:b/>
          <w:bCs/>
          <w:sz w:val="30"/>
          <w:szCs w:val="30"/>
        </w:rPr>
        <w:t xml:space="preserve">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60"/>
          </w:tcPr>
          <w:p>
            <w:r>
              <w:t xml:space="preserve">15 March 2026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60"/>
          </w:tcPr>
          <w:p>
            <w:r>
              <w:t xml:space="preserve">SWTID-2026-8588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60"/>
          </w:tcPr>
          <w:p>
            <w:r>
              <w:t xml:space="preserve">SmartLender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60"/>
          </w:tcPr>
          <w:p>
            <w:r>
              <w:t xml:space="preserve">2 Marks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sz w:val="24"/>
          <w:szCs w:val="24"/>
        </w:rPr>
        <w:t xml:space="preserve">Data Flow Diagram</w:t>
      </w:r>
    </w:p>
    <w:p>
      <w:pPr>
        <w:spacing w:after="160"/>
      </w:pPr>
      <w:r>
        <w:t xml:space="preserve">The diagram below shows how data moves through SmartLender — between external entities, processes, and data stores. Use the symbol legend as a guide to reading the diagram.</w:t>
      </w:r>
    </w:p>
    <w:p>
      <w:pPr>
        <w:spacing w:after="100" w:before="240"/>
      </w:pPr>
      <w:r>
        <w:rPr>
          <w:b/>
          <w:bCs/>
          <w:sz w:val="24"/>
          <w:szCs w:val="24"/>
        </w:rPr>
        <w:t xml:space="preserve">DFD Symbol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DCE9F7" w:val="clear"/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2200"/>
            <w:shd w:fill="DCE9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4960"/>
            <w:shd w:fill="DCE9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Oval / Rounded shape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External Entity</w:t>
            </w:r>
          </w:p>
        </w:tc>
        <w:tc>
          <w:tcPr>
            <w:tcW w:type="dxa" w:w="4960"/>
          </w:tcPr>
          <w:p>
            <w:r>
              <w:t xml:space="preserve">A person, organization, or system outside the project that sends or receives data (e.g., Loan Applicant, Loan Officer).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Rectangle with numbered header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4960"/>
          </w:tcPr>
          <w:p>
            <w:r>
              <w:t xml:space="preserve">An activity that transforms incoming data into outgoing data (e.g., Authentication, Application Intake &amp; ML Prediction).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Rectangle (solid fill, no number)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Data Store</w:t>
            </w:r>
          </w:p>
        </w:tc>
        <w:tc>
          <w:tcPr>
            <w:tcW w:type="dxa" w:w="4960"/>
          </w:tcPr>
          <w:p>
            <w:r>
              <w:t xml:space="preserve">A place where data is held for later use (e.g., User Store, Application/Prediction Store, Document Store).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Labeled arrow</w:t>
            </w:r>
          </w:p>
        </w:tc>
        <w:tc>
          <w:tcPr>
            <w:tcW w:type="dxa" w:w="2200"/>
          </w:tcPr>
          <w:p>
            <w:r>
              <w:rPr>
                <w:b/>
                <w:bCs/>
              </w:rPr>
              <w:t xml:space="preserve">Data Flow</w:t>
            </w:r>
          </w:p>
        </w:tc>
        <w:tc>
          <w:tcPr>
            <w:tcW w:type="dxa" w:w="4960"/>
          </w:tcPr>
          <w:p>
            <w:r>
              <w:t xml:space="preserve">The movement of data between entities, processes, and data stores, labeled with what data is being passed.</w:t>
            </w:r>
          </w:p>
        </w:tc>
      </w:tr>
    </w:tbl>
    <w:p>
      <w:pPr>
        <w:spacing w:after="200"/>
      </w:pPr>
    </w:p>
    <w:p>
      <w:pPr>
        <w:spacing w:after="100" w:before="240"/>
      </w:pPr>
      <w:r>
        <w:rPr>
          <w:b/>
          <w:bCs/>
          <w:sz w:val="24"/>
          <w:szCs w:val="24"/>
        </w:rPr>
        <w:t xml:space="preserve">SmartLender — DFD Level-1</w:t>
      </w:r>
    </w:p>
    <w:p>
      <w:pPr>
        <w:spacing w:after="160"/>
      </w:pPr>
      <w:r>
        <w:t xml:space="preserve">The diagram illustrates how a Loan Applicant's registration, income and credit details flow through Authentication, Application Intake &amp; ML Prediction, and Admin/Review processes, and how a Loan Officer or Admin reviews and manages applications and predictions.</w:t>
      </w:r>
    </w:p>
    <w:p>
      <w:pPr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Figure: SmartLender DFD Level-1 — Authentication, Application Intake &amp; ML Prediction, and Admin/Review modules with their associated data stores.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b4f3245eab2d59407c5ed578967749b25b1651.png"/><Relationship Id="rId8" Type="http://schemas.openxmlformats.org/officeDocument/2006/relationships/image" Target="media/71c0dde0ae1dbfdc430ca48fb0df6374df8c125a.png"/><Relationship Id="rId9" Type="http://schemas.openxmlformats.org/officeDocument/2006/relationships/image" Target="media/7736f4a912d2c7d3af51d6f4621e8f9ea7e0f3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2026-07-31T17:08:27.153Z</dcterms:created>
  <dcterms:modified xsi:type="dcterms:W3CDTF">2026-07-31T17:08:27.155Z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