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drawing>
                <wp:inline distT="0" distB="0" distL="0" distR="0">
                  <wp:extent cx="1333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drawing>
                <wp:inline distT="0" distB="0" distL="0" distR="0">
                  <wp:extent cx="133350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200"/>
        <w:jc w:val="center"/>
      </w:pPr>
      <w:r>
        <w:rPr>
          <w:b/>
          <w:bCs/>
          <w:sz w:val="30"/>
          <w:szCs w:val="30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60"/>
          </w:tcPr>
          <w:p>
            <w:r>
              <w:t xml:space="preserve">15 March 2026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760"/>
          </w:tcPr>
          <w:p>
            <w:r>
              <w:t xml:space="preserve">SWTID-2026-8588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760"/>
          </w:tcPr>
          <w:p>
            <w:r>
              <w:t xml:space="preserve">SmartLender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760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sz w:val="24"/>
          <w:szCs w:val="24"/>
        </w:rPr>
        <w:t xml:space="preserve">Define Your Technology Stack:</w:t>
      </w:r>
    </w:p>
    <w:p>
      <w:pPr>
        <w:spacing w:after="160"/>
      </w:pPr>
      <w:r>
        <w:t xml:space="preserve">SmartLender's technology stack was chosen to support an AI-powered loan recommendation and credit-risk prediction platform: a responsive React frontend, a Python/Flask backend that shares its language with the ML training pipeline, a relational MySQL store for structured applicant data, and AWS-hosted infrastructure with S3 for secure document storage.</w:t>
      </w:r>
    </w:p>
    <w:p>
      <w:pPr>
        <w:spacing w:after="160"/>
      </w:pPr>
      <w:r>
        <w:t xml:space="preserve">The table below details the specific technology chosen for each component of the architecture, along with the justification for that choice.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Technology Stack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360"/>
      </w:tblGrid>
      <w:tr>
        <w:tc>
          <w:tcPr>
            <w:tcW w:type="dxa" w:w="600"/>
            <w:shd w:fill="DCE9F7" w:val="clear"/>
          </w:tcPr>
          <w:p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2200"/>
            <w:shd w:fill="DCE9F7" w:val="clear"/>
          </w:tcPr>
          <w:p>
            <w:r>
              <w:rPr>
                <w:b/>
                <w:bCs/>
              </w:rPr>
              <w:t xml:space="preserve">Architecture Component / Layer</w:t>
            </w:r>
          </w:p>
        </w:tc>
        <w:tc>
          <w:tcPr>
            <w:tcW w:type="dxa" w:w="2200"/>
            <w:shd w:fill="DCE9F7" w:val="clear"/>
          </w:tcPr>
          <w:p>
            <w:r>
              <w:rPr>
                <w:b/>
                <w:bCs/>
              </w:rPr>
              <w:t xml:space="preserve">Technology Chosen</w:t>
            </w:r>
          </w:p>
        </w:tc>
        <w:tc>
          <w:tcPr>
            <w:tcW w:type="dxa" w:w="4360"/>
            <w:shd w:fill="DCE9F7" w:val="clear"/>
          </w:tcPr>
          <w:p>
            <w:r>
              <w:rPr>
                <w:b/>
                <w:bCs/>
              </w:rPr>
              <w:t xml:space="preserve">Justification / Purpose</w:t>
            </w:r>
          </w:p>
        </w:tc>
      </w:tr>
      <w:tr>
        <w:tc>
          <w:tcPr>
            <w:tcW w:type="dxa" w:w="600"/>
          </w:tcPr>
          <w:p>
            <w:r>
              <w:t xml:space="preserve">1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Frontend / Client-Side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(React.js, Vite, HTML5/CSS3)</w:t>
            </w:r>
          </w:p>
        </w:tc>
        <w:tc>
          <w:tcPr>
            <w:tcW w:type="dxa" w:w="2200"/>
          </w:tcPr>
          <w:p>
            <w:r>
              <w:t xml:space="preserve">React.js</w:t>
            </w:r>
          </w:p>
        </w:tc>
        <w:tc>
          <w:tcPr>
            <w:tcW w:type="dxa" w:w="4360"/>
          </w:tcPr>
          <w:p>
            <w:r>
              <w:t xml:space="preserve">Component-based architecture lets the applicant form, prediction result view and officer dashboard reuse UI building blocks; fast Vite-powered development and a virtual DOM keep the dashboard responsive while displaying live prediction results.</w:t>
            </w:r>
          </w:p>
        </w:tc>
      </w:tr>
      <w:tr>
        <w:tc>
          <w:tcPr>
            <w:tcW w:type="dxa" w:w="600"/>
          </w:tcPr>
          <w:p>
            <w:r>
              <w:t xml:space="preserve">2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Backend / Server-Side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(Python, Flask)</w:t>
            </w:r>
          </w:p>
        </w:tc>
        <w:tc>
          <w:tcPr>
            <w:tcW w:type="dxa" w:w="2200"/>
          </w:tcPr>
          <w:p>
            <w:r>
              <w:t xml:space="preserve">Python / Flask</w:t>
            </w:r>
          </w:p>
        </w:tc>
        <w:tc>
          <w:tcPr>
            <w:tcW w:type="dxa" w:w="4360"/>
          </w:tcPr>
          <w:p>
            <w:r>
              <w:t xml:space="preserve">Flask is lightweight and integrates natively with the same Python ML stack (Scikit-learn, XGBoost, Pandas) used to train the models, avoiding cross-language serialization overhead between the API and the prediction engine.</w:t>
            </w:r>
          </w:p>
        </w:tc>
      </w:tr>
      <w:tr>
        <w:tc>
          <w:tcPr>
            <w:tcW w:type="dxa" w:w="600"/>
          </w:tcPr>
          <w:p>
            <w:r>
              <w:t xml:space="preserve">3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Database / Data Storage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(MySQL)</w:t>
            </w:r>
          </w:p>
        </w:tc>
        <w:tc>
          <w:tcPr>
            <w:tcW w:type="dxa" w:w="2200"/>
          </w:tcPr>
          <w:p>
            <w:r>
              <w:t xml:space="preserve">MySQL</w:t>
            </w:r>
          </w:p>
        </w:tc>
        <w:tc>
          <w:tcPr>
            <w:tcW w:type="dxa" w:w="4360"/>
          </w:tcPr>
          <w:p>
            <w:r>
              <w:t xml:space="preserve">Applicant, application and prediction records have well-defined relationships (one applicant to many applications to one prediction); MySQL's strong relational integrity and mature tooling suit this structured, transactional data.</w:t>
            </w:r>
          </w:p>
        </w:tc>
      </w:tr>
      <w:tr>
        <w:tc>
          <w:tcPr>
            <w:tcW w:type="dxa" w:w="600"/>
          </w:tcPr>
          <w:p>
            <w:r>
              <w:t xml:space="preserve">4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Cloud / Hosting / Deployment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(AWS)</w:t>
            </w:r>
          </w:p>
        </w:tc>
        <w:tc>
          <w:tcPr>
            <w:tcW w:type="dxa" w:w="2200"/>
          </w:tcPr>
          <w:p>
            <w:r>
              <w:t xml:space="preserve">AWS (EC2 / Elastic Beanstalk + S3)</w:t>
            </w:r>
          </w:p>
        </w:tc>
        <w:tc>
          <w:tcPr>
            <w:tcW w:type="dxa" w:w="4360"/>
          </w:tcPr>
          <w:p>
            <w:r>
              <w:t xml:space="preserve">AWS provides managed, horizontally scalable hosting for the Flask API and static frontend build, while AWS S3 offers durable, access-controlled storage for uploaded KYC and income-proof documents.</w:t>
            </w:r>
          </w:p>
        </w:tc>
      </w:tr>
      <w:tr>
        <w:tc>
          <w:tcPr>
            <w:tcW w:type="dxa" w:w="600"/>
          </w:tcPr>
          <w:p>
            <w:r>
              <w:t xml:space="preserve">5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Version Control &amp; CI/CD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(GitHub, GitHub Actions)</w:t>
            </w:r>
          </w:p>
        </w:tc>
        <w:tc>
          <w:tcPr>
            <w:tcW w:type="dxa" w:w="2200"/>
          </w:tcPr>
          <w:p>
            <w:r>
              <w:t xml:space="preserve">GitHub / GitHub Actions</w:t>
            </w:r>
          </w:p>
        </w:tc>
        <w:tc>
          <w:tcPr>
            <w:tcW w:type="dxa" w:w="4360"/>
          </w:tcPr>
          <w:p>
            <w:r>
              <w:t xml:space="preserve">GitHub enables seamless collaboration and code review across the 5-member team through pull requests, while GitHub Actions automates linting, unit tests and model-artifact checks before every deployment.</w:t>
            </w:r>
          </w:p>
        </w:tc>
      </w:tr>
      <w:tr>
        <w:tc>
          <w:tcPr>
            <w:tcW w:type="dxa" w:w="600"/>
          </w:tcPr>
          <w:p>
            <w:r>
              <w:t xml:space="preserve">6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Third-Party APIs / Other Tools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(JWT, Credit Bureau API)</w:t>
            </w:r>
          </w:p>
        </w:tc>
        <w:tc>
          <w:tcPr>
            <w:tcW w:type="dxa" w:w="2200"/>
          </w:tcPr>
          <w:p>
            <w:r>
              <w:t xml:space="preserve">JWT (PyJWT) authentication; Credit Bureau API (planned)</w:t>
            </w:r>
          </w:p>
        </w:tc>
        <w:tc>
          <w:tcPr>
            <w:tcW w:type="dxa" w:w="4360"/>
          </w:tcPr>
          <w:p>
            <w:r>
              <w:t xml:space="preserve">JWT enables stateless, secure authentication for every protected prediction and admin endpoint; a future credit-bureau API integration is planned to cross-verify applicant credit scores against real bureau data.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b4f3245eab2d59407c5ed578967749b25b1651.png"/><Relationship Id="rId8" Type="http://schemas.openxmlformats.org/officeDocument/2006/relationships/image" Target="media/71c0dde0ae1dbfdc430ca48fb0df6374df8c125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2026-07-31T17:08:04.577Z</dcterms:created>
  <dcterms:modified xsi:type="dcterms:W3CDTF">2026-07-31T17:08:04.690Z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