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Empathize &amp; Discover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Ideation Phase — Empathy Map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05 January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6"/>
          <w:szCs w:val="26"/>
        </w:rPr>
        <w:t xml:space="preserve">Empathy Map: The Salaried &amp; Self-Employed Loan Applicant</w:t>
      </w:r>
    </w:p>
    <w:p>
      <w:pPr>
        <w:spacing w:after="200"/>
      </w:pPr>
      <w:r>
        <w:t xml:space="preserve">An empathy map captures the target user's behaviours and attitudes, helping the team design SmartLender around what the applicant actually says, thinks, does and feels while seeking a loan and awaiting an eligibility decision.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“I don’t want to wait a week just to be told I don’t qualify.”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“Why do I have to fill the same income details on three different bank portals?”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“I wish someone could tell me my approval chances before I formally apply.”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Thinks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Worries that a single low credit score will overshadow a stable income and repayment capacity.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Wonders whether the loan amount and tenure they are requesting are actually realistic for their profile.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suspicious that manual underwriting decisions may be inconsistent or biased between applicants.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Gathers and uploads income proof, KYC documents and bank statements.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Compares monthly EMI against take-home income before submitting an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Checks eligibility calculators on two or three different lending platforms.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Re-applies with a co-applicant income if their solo application looks weak.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Calls customer support repeatedly to track application status.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Feels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Anxious about outright rejection after a long waiting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Relieved when a clear, instant, data-backed decision is presented.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Confident once they understand exactly which factors drove the credit-risk outcome.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Pains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Long manual underwriting cycles with unclear turnaround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visibility into why an application was rejected.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Repeated, inconsistent documentation requirements across lenders.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of fraud and misreported income going undetected until late in the process.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Gains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instant, ML-driven eligibility and credit-risk prediction with clear reasoning.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 platform that recommends the loan product that actually fits their profile.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Transparent, consistent, bias-resistant decisioning built on historical repayment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Early fraud and risk flags that protect both the applicant and the lender.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2026-07-28T14:07:18.016Z</dcterms:created>
  <dcterms:modified xsi:type="dcterms:W3CDTF">2026-07-28T14:07:18.016Z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