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293B"/>
          <w:sz w:val="34"/>
          <w:szCs w:val="34"/>
        </w:rPr>
        <w:t xml:space="preserve">Kill the Quote Spreadsheet</w:t>
      </w:r>
    </w:p>
    <w:p>
      <w:pPr>
        <w:spacing w:after="120"/>
      </w:pPr>
      <w:r>
        <w:rPr>
          <w:rFonts w:ascii="Arial" w:cs="Arial" w:eastAsia="Arial" w:hAnsi="Arial"/>
          <w:color w:val="64748B"/>
          <w:sz w:val="21"/>
          <w:szCs w:val="21"/>
        </w:rPr>
        <w:t xml:space="preserve">What I decided, and what I deliberately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4338CA" w:sz="18"/>
              <w:bottom w:val="none" w:color="FFFFFF" w:sz="0"/>
              <w:right w:val="none" w:color="FFFFFF" w:sz="0"/>
            </w:tcBorders>
            <w:shd w:fill="EEF2FF" w:color="auto" w:val="clear"/>
            <w:tcMar>
              <w:top w:type="dxa" w:w="110"/>
              <w:left w:type="dxa" w:w="160"/>
              <w:bottom w:type="dxa" w:w="110"/>
              <w:right w:type="dxa" w:w="160"/>
            </w:tcMar>
          </w:tcPr>
          <w:p>
            <w:pPr>
              <w:spacing w:line="264"/>
            </w:pPr>
            <w:r>
              <w:rPr>
                <w:rFonts w:ascii="Arial" w:cs="Arial" w:eastAsia="Arial" w:hAnsi="Arial"/>
                <w:b/>
                <w:bCs/>
                <w:color w:val="1E293B"/>
                <w:sz w:val="20"/>
                <w:szCs w:val="20"/>
              </w:rPr>
              <w:t xml:space="preserve">The rule I built around:</w:t>
            </w:r>
            <w:r>
              <w:rPr>
                <w:rFonts w:ascii="Arial" w:cs="Arial" w:eastAsia="Arial" w:hAnsi="Arial"/>
                <w:color w:val="1E293B"/>
                <w:sz w:val="20"/>
                <w:szCs w:val="20"/>
              </w:rPr>
              <w:t xml:space="preserve"> the AI reads and reasons, plain code does the arithmetic, and the buyer decides. A buyer with ₹4 crore on the line can forgive a tool that says “I am not sure”, but not one that is confidently wrong. So the number I optimised was </w:t>
            </w:r>
            <w:r>
              <w:rPr>
                <w:rFonts w:ascii="Arial" w:cs="Arial" w:eastAsia="Arial" w:hAnsi="Arial"/>
                <w:b/>
                <w:bCs/>
                <w:color w:val="1E293B"/>
                <w:sz w:val="20"/>
                <w:szCs w:val="20"/>
              </w:rPr>
              <w:t xml:space="preserve">prices that are wrong and not flagged</w:t>
            </w:r>
            <w:r>
              <w:rPr>
                <w:rFonts w:ascii="Arial" w:cs="Arial" w:eastAsia="Arial" w:hAnsi="Arial"/>
                <w:color w:val="1E293B"/>
                <w:sz w:val="20"/>
                <w:szCs w:val="20"/>
              </w:rPr>
              <w:t xml:space="preserve">.</w:t>
            </w:r>
          </w:p>
        </w:tc>
      </w:tr>
    </w:tbl>
    <w:p>
      <w:pPr>
        <w:keepNext/>
        <w:pBdr>
          <w:bottom w:val="single" w:color="CBD5E1" w:sz="6" w:space="2"/>
        </w:pBdr>
        <w:spacing w:after="70" w:before="170"/>
      </w:pPr>
      <w:r>
        <w:rPr>
          <w:rFonts w:ascii="Arial" w:cs="Arial" w:eastAsia="Arial" w:hAnsi="Arial"/>
          <w:b/>
          <w:bCs/>
          <w:color w:val="4338CA"/>
          <w:spacing w:val="20"/>
          <w:sz w:val="18"/>
          <w:szCs w:val="18"/>
        </w:rPr>
        <w:t xml:space="preserve">WHAT I DECIDED</w:t>
      </w:r>
    </w:p>
    <w:p>
      <w:pPr>
        <w:pStyle w:val="ListParagraph"/>
        <w:numPr>
          <w:ilvl w:val="0"/>
          <w:numId w:val="2"/>
        </w:numPr>
        <w:spacing w:after="50" w:line="258"/>
      </w:pPr>
      <w:r>
        <w:rPr>
          <w:rFonts w:ascii="Arial" w:cs="Arial" w:eastAsia="Arial" w:hAnsi="Arial"/>
          <w:b/>
          <w:bCs/>
          <w:color w:val="1E293B"/>
          <w:sz w:val="20"/>
          <w:szCs w:val="20"/>
        </w:rPr>
        <w:t xml:space="preserve">Corrugated packaging as the category.</w:t>
      </w:r>
      <w:r>
        <w:rPr>
          <w:rFonts w:ascii="Arial" w:cs="Arial" w:eastAsia="Arial" w:hAnsi="Arial"/>
          <w:color w:val="1E293B"/>
          <w:sz w:val="20"/>
          <w:szCs w:val="20"/>
        </w:rPr>
        <w:t xml:space="preserve"> Its unit problem is real: vendors quote per kg, per piece or per 100. The RFx states each box weight, so every conversion is a formula the buyer can check.</w:t>
      </w:r>
    </w:p>
    <w:p>
      <w:pPr>
        <w:pStyle w:val="ListParagraph"/>
        <w:numPr>
          <w:ilvl w:val="0"/>
          <w:numId w:val="2"/>
        </w:numPr>
        <w:spacing w:after="50" w:line="258"/>
      </w:pPr>
      <w:r>
        <w:rPr>
          <w:rFonts w:ascii="Arial" w:cs="Arial" w:eastAsia="Arial" w:hAnsi="Arial"/>
          <w:b/>
          <w:bCs/>
          <w:color w:val="1E293B"/>
          <w:sz w:val="20"/>
          <w:szCs w:val="20"/>
        </w:rPr>
        <w:t xml:space="preserve">The model records what the vendor wrote; code converts it.</w:t>
      </w:r>
      <w:r>
        <w:rPr>
          <w:rFonts w:ascii="Arial" w:cs="Arial" w:eastAsia="Arial" w:hAnsi="Arial"/>
          <w:color w:val="1E293B"/>
          <w:sz w:val="20"/>
          <w:szCs w:val="20"/>
        </w:rPr>
        <w:t xml:space="preserve"> Every cell opens to the vendor’s words, the source document and the formula. One model call reads a vendor’s email, quote and certificate together, because the contradictions sit between them.</w:t>
      </w:r>
    </w:p>
    <w:p>
      <w:pPr>
        <w:pStyle w:val="ListParagraph"/>
        <w:numPr>
          <w:ilvl w:val="0"/>
          <w:numId w:val="2"/>
        </w:numPr>
        <w:spacing w:after="50" w:line="258"/>
      </w:pPr>
      <w:r>
        <w:rPr>
          <w:rFonts w:ascii="Arial" w:cs="Arial" w:eastAsia="Arial" w:hAnsi="Arial"/>
          <w:b/>
          <w:bCs/>
          <w:color w:val="1E293B"/>
          <w:sz w:val="20"/>
          <w:szCs w:val="20"/>
        </w:rPr>
        <w:t xml:space="preserve">Doubt is visible without clicking.</w:t>
      </w:r>
      <w:r>
        <w:rPr>
          <w:rFonts w:ascii="Arial" w:cs="Arial" w:eastAsia="Arial" w:hAnsi="Arial"/>
          <w:color w:val="1E293B"/>
          <w:sz w:val="20"/>
          <w:szCs w:val="20"/>
        </w:rPr>
        <w:t xml:space="preserve"> Each cell is quoted, derived, assumed, not quoted or needs review. Four checks do not rely on the model’s opinion of itself: is the number in the source, does OCR agree with vision, is it far from last year’s price, is the certificate still valid.</w:t>
      </w:r>
    </w:p>
    <w:p>
      <w:pPr>
        <w:pStyle w:val="ListParagraph"/>
        <w:numPr>
          <w:ilvl w:val="0"/>
          <w:numId w:val="2"/>
        </w:numPr>
        <w:spacing w:after="50" w:line="258"/>
      </w:pPr>
      <w:r>
        <w:rPr>
          <w:rFonts w:ascii="Arial" w:cs="Arial" w:eastAsia="Arial" w:hAnsi="Arial"/>
          <w:b/>
          <w:bCs/>
          <w:color w:val="1E293B"/>
          <w:sz w:val="20"/>
          <w:szCs w:val="20"/>
        </w:rPr>
        <w:t xml:space="preserve">I chose the model by measurement.</w:t>
      </w:r>
      <w:r>
        <w:rPr>
          <w:rFonts w:ascii="Arial" w:cs="Arial" w:eastAsia="Arial" w:hAnsi="Arial"/>
          <w:color w:val="1E293B"/>
          <w:sz w:val="20"/>
          <w:szCs w:val="20"/>
        </w:rPr>
        <w:t xml:space="preserve"> An older model slipped a row on the angled photo: six prices wrong, three unflagged. I switched models and added a rule that two implausible prices from one image send all its rows to review. On my fabricated dataset the system now reads 150 of 150 cells correctly, none wrong and unflagged.</w:t>
      </w:r>
    </w:p>
    <w:p>
      <w:pPr>
        <w:pStyle w:val="ListParagraph"/>
        <w:numPr>
          <w:ilvl w:val="0"/>
          <w:numId w:val="2"/>
        </w:numPr>
        <w:spacing w:after="50" w:line="258"/>
      </w:pPr>
      <w:r>
        <w:rPr>
          <w:rFonts w:ascii="Arial" w:cs="Arial" w:eastAsia="Arial" w:hAnsi="Arial"/>
          <w:b/>
          <w:bCs/>
          <w:color w:val="1E293B"/>
          <w:sz w:val="20"/>
          <w:szCs w:val="20"/>
        </w:rPr>
        <w:t xml:space="preserve">Nothing is assumed on the buyer’s behalf.</w:t>
      </w:r>
      <w:r>
        <w:rPr>
          <w:rFonts w:ascii="Arial" w:cs="Arial" w:eastAsia="Arial" w:hAnsi="Arial"/>
          <w:color w:val="1E293B"/>
          <w:sz w:val="20"/>
          <w:szCs w:val="20"/>
        </w:rPr>
        <w:t xml:space="preserve"> A conditional rebate is shown, not applied. Missing freight is a gap, not an estimate. “Same as last year” is filled and marked assumed. A vendor with no certificate is “unverified”, not “failed”, because the next step differs.</w:t>
      </w:r>
    </w:p>
    <w:p>
      <w:pPr>
        <w:pStyle w:val="ListParagraph"/>
        <w:numPr>
          <w:ilvl w:val="0"/>
          <w:numId w:val="2"/>
        </w:numPr>
        <w:spacing w:after="50" w:line="258"/>
      </w:pPr>
      <w:r>
        <w:rPr>
          <w:rFonts w:ascii="Arial" w:cs="Arial" w:eastAsia="Arial" w:hAnsi="Arial"/>
          <w:b/>
          <w:bCs/>
          <w:color w:val="1E293B"/>
          <w:sz w:val="20"/>
          <w:szCs w:val="20"/>
        </w:rPr>
        <w:t xml:space="preserve">The analyst is an agent that cannot do arithmetic.</w:t>
      </w:r>
      <w:r>
        <w:rPr>
          <w:rFonts w:ascii="Arial" w:cs="Arial" w:eastAsia="Arial" w:hAnsi="Arial"/>
          <w:color w:val="1E293B"/>
          <w:sz w:val="20"/>
          <w:szCs w:val="20"/>
        </w:rPr>
        <w:t xml:space="preserve"> It chooses among four tools (look up, table, chart, award scenario) and code computes every figure. Answers carry their caveats and their working, and say when the data cannot answer.</w:t>
      </w:r>
    </w:p>
    <w:p>
      <w:pPr>
        <w:pStyle w:val="ListParagraph"/>
        <w:numPr>
          <w:ilvl w:val="0"/>
          <w:numId w:val="2"/>
        </w:numPr>
        <w:spacing w:after="50" w:line="258"/>
      </w:pPr>
      <w:r>
        <w:rPr>
          <w:rFonts w:ascii="Arial" w:cs="Arial" w:eastAsia="Arial" w:hAnsi="Arial"/>
          <w:b/>
          <w:bCs/>
          <w:color w:val="1E293B"/>
          <w:sz w:val="20"/>
          <w:szCs w:val="20"/>
        </w:rPr>
        <w:t xml:space="preserve">Anyone can upload their own vendor reply</w:t>
      </w:r>
      <w:r>
        <w:rPr>
          <w:rFonts w:ascii="Arial" w:cs="Arial" w:eastAsia="Arial" w:hAnsi="Arial"/>
          <w:color w:val="1E293B"/>
          <w:sz w:val="20"/>
          <w:szCs w:val="20"/>
        </w:rPr>
        <w:t xml:space="preserve"> and watch it go through the same pipeline. That is my proof that nothing is staged.</w:t>
      </w:r>
    </w:p>
    <w:p>
      <w:pPr>
        <w:keepNext/>
        <w:pBdr>
          <w:bottom w:val="single" w:color="CBD5E1" w:sz="6" w:space="2"/>
        </w:pBdr>
        <w:spacing w:after="70" w:before="170"/>
      </w:pPr>
      <w:r>
        <w:rPr>
          <w:rFonts w:ascii="Arial" w:cs="Arial" w:eastAsia="Arial" w:hAnsi="Arial"/>
          <w:b/>
          <w:bCs/>
          <w:color w:val="4338CA"/>
          <w:spacing w:val="20"/>
          <w:sz w:val="18"/>
          <w:szCs w:val="18"/>
        </w:rPr>
        <w:t xml:space="preserve">WHAT I DELIBERATELY LEFT OUT</w:t>
      </w:r>
    </w:p>
    <w:p>
      <w:pPr>
        <w:pStyle w:val="ListParagraph"/>
        <w:numPr>
          <w:ilvl w:val="0"/>
          <w:numId w:val="2"/>
        </w:numPr>
        <w:spacing w:after="50" w:line="258"/>
      </w:pPr>
      <w:r>
        <w:rPr>
          <w:rFonts w:ascii="Arial" w:cs="Arial" w:eastAsia="Arial" w:hAnsi="Arial"/>
          <w:b/>
          <w:bCs/>
          <w:color w:val="1E293B"/>
          <w:sz w:val="20"/>
          <w:szCs w:val="20"/>
        </w:rPr>
        <w:t xml:space="preserve">Real email.</w:t>
      </w:r>
      <w:r>
        <w:rPr>
          <w:rFonts w:ascii="Arial" w:cs="Arial" w:eastAsia="Arial" w:hAnsi="Arial"/>
          <w:color w:val="1E293B"/>
          <w:sz w:val="20"/>
          <w:szCs w:val="20"/>
        </w:rPr>
        <w:t xml:space="preserve"> Stubbed, as the brief allows; replies enter as files or pasted text.</w:t>
      </w:r>
    </w:p>
    <w:p>
      <w:pPr>
        <w:pStyle w:val="ListParagraph"/>
        <w:numPr>
          <w:ilvl w:val="0"/>
          <w:numId w:val="2"/>
        </w:numPr>
        <w:spacing w:after="50" w:line="258"/>
      </w:pPr>
      <w:r>
        <w:rPr>
          <w:rFonts w:ascii="Arial" w:cs="Arial" w:eastAsia="Arial" w:hAnsi="Arial"/>
          <w:b/>
          <w:bCs/>
          <w:color w:val="1E293B"/>
          <w:sz w:val="20"/>
          <w:szCs w:val="20"/>
        </w:rPr>
        <w:t xml:space="preserve">Landed-cost modelling.</w:t>
      </w:r>
      <w:r>
        <w:rPr>
          <w:rFonts w:ascii="Arial" w:cs="Arial" w:eastAsia="Arial" w:hAnsi="Arial"/>
          <w:color w:val="1E293B"/>
          <w:sz w:val="20"/>
          <w:szCs w:val="20"/>
        </w:rPr>
        <w:t xml:space="preserve"> Freight, duty and GST are shown as gaps. The buyer can add an estimate in a scenario; the tool will not invent one.</w:t>
      </w:r>
    </w:p>
    <w:p>
      <w:pPr>
        <w:pStyle w:val="ListParagraph"/>
        <w:numPr>
          <w:ilvl w:val="0"/>
          <w:numId w:val="2"/>
        </w:numPr>
        <w:spacing w:after="50" w:line="258"/>
      </w:pPr>
      <w:r>
        <w:rPr>
          <w:rFonts w:ascii="Arial" w:cs="Arial" w:eastAsia="Arial" w:hAnsi="Arial"/>
          <w:b/>
          <w:bCs/>
          <w:color w:val="1E293B"/>
          <w:sz w:val="20"/>
          <w:szCs w:val="20"/>
        </w:rPr>
        <w:t xml:space="preserve">Accounts, roles, approvals, negotiation, contracts and ERP hand-off.</w:t>
      </w:r>
      <w:r>
        <w:rPr>
          <w:rFonts w:ascii="Arial" w:cs="Arial" w:eastAsia="Arial" w:hAnsi="Arial"/>
          <w:color w:val="1E293B"/>
          <w:sz w:val="20"/>
          <w:szCs w:val="20"/>
        </w:rPr>
        <w:t xml:space="preserve"> One sample buyer login.</w:t>
      </w:r>
    </w:p>
    <w:p>
      <w:pPr>
        <w:pStyle w:val="ListParagraph"/>
        <w:numPr>
          <w:ilvl w:val="0"/>
          <w:numId w:val="2"/>
        </w:numPr>
        <w:spacing w:after="50" w:line="258"/>
      </w:pPr>
      <w:r>
        <w:rPr>
          <w:rFonts w:ascii="Arial" w:cs="Arial" w:eastAsia="Arial" w:hAnsi="Arial"/>
          <w:b/>
          <w:bCs/>
          <w:color w:val="1E293B"/>
          <w:sz w:val="20"/>
          <w:szCs w:val="20"/>
        </w:rPr>
        <w:t xml:space="preserve">Multi-agent frameworks and vector search.</w:t>
      </w:r>
      <w:r>
        <w:rPr>
          <w:rFonts w:ascii="Arial" w:cs="Arial" w:eastAsia="Arial" w:hAnsi="Arial"/>
          <w:color w:val="1E293B"/>
          <w:sz w:val="20"/>
          <w:szCs w:val="20"/>
        </w:rPr>
        <w:t xml:space="preserve"> Thirty lines by five vendors fits in a table. One pipeline and one agent are easier to trust and to explain.</w:t>
      </w:r>
    </w:p>
    <w:p>
      <w:pPr>
        <w:pStyle w:val="ListParagraph"/>
        <w:numPr>
          <w:ilvl w:val="0"/>
          <w:numId w:val="2"/>
        </w:numPr>
        <w:spacing w:after="50" w:line="258"/>
      </w:pPr>
      <w:r>
        <w:rPr>
          <w:rFonts w:ascii="Arial" w:cs="Arial" w:eastAsia="Arial" w:hAnsi="Arial"/>
          <w:b/>
          <w:bCs/>
          <w:color w:val="1E293B"/>
          <w:sz w:val="20"/>
          <w:szCs w:val="20"/>
        </w:rPr>
        <w:t xml:space="preserve">A vendor portal or template.</w:t>
      </w:r>
      <w:r>
        <w:rPr>
          <w:rFonts w:ascii="Arial" w:cs="Arial" w:eastAsia="Arial" w:hAnsi="Arial"/>
          <w:color w:val="1E293B"/>
          <w:sz w:val="20"/>
          <w:szCs w:val="20"/>
        </w:rPr>
        <w:t xml:space="preserve"> Nobody should be forced into one.</w:t>
      </w:r>
    </w:p>
    <w:p>
      <w:pPr>
        <w:keepNext/>
        <w:pBdr>
          <w:bottom w:val="single" w:color="CBD5E1" w:sz="6" w:space="2"/>
        </w:pBdr>
        <w:spacing w:after="70" w:before="170"/>
      </w:pPr>
      <w:r>
        <w:rPr>
          <w:rFonts w:ascii="Arial" w:cs="Arial" w:eastAsia="Arial" w:hAnsi="Arial"/>
          <w:b/>
          <w:bCs/>
          <w:color w:val="4338CA"/>
          <w:spacing w:val="20"/>
          <w:sz w:val="18"/>
          <w:szCs w:val="18"/>
        </w:rPr>
        <w:t xml:space="preserve">WHERE I THINK THE INTERESTING PROBLEM IS</w:t>
      </w:r>
    </w:p>
    <w:p>
      <w:pPr>
        <w:spacing w:after="0" w:line="264"/>
      </w:pPr>
      <w:r>
        <w:rPr>
          <w:rFonts w:ascii="Arial" w:cs="Arial" w:eastAsia="Arial" w:hAnsi="Arial"/>
          <w:color w:val="1E293B"/>
          <w:sz w:val="20"/>
          <w:szCs w:val="20"/>
        </w:rPr>
        <w:t xml:space="preserve">Reading the quotes was the easier half. What blocked an award in my dataset was not illegible documents but </w:t>
      </w:r>
      <w:r>
        <w:rPr>
          <w:rFonts w:ascii="Arial" w:cs="Arial" w:eastAsia="Arial" w:hAnsi="Arial"/>
          <w:b/>
          <w:bCs/>
          <w:color w:val="1E293B"/>
          <w:sz w:val="20"/>
          <w:szCs w:val="20"/>
        </w:rPr>
        <w:t xml:space="preserve">quotes that were not comparable</w:t>
      </w:r>
      <w:r>
        <w:rPr>
          <w:rFonts w:ascii="Arial" w:cs="Arial" w:eastAsia="Arial" w:hAnsi="Arial"/>
          <w:color w:val="1E293B"/>
          <w:sz w:val="20"/>
          <w:szCs w:val="20"/>
        </w:rPr>
        <w:t xml:space="preserve">: freight excluded, a rebate tied to volume, a lapsed certificate. So the system drafts a clarification email to each vendor from its own flags, and the co-pilot asks for what makes replies comparable before the RFx goes out. Next, I would measure </w:t>
      </w:r>
      <w:r>
        <w:rPr>
          <w:rFonts w:ascii="Arial" w:cs="Arial" w:eastAsia="Arial" w:hAnsi="Arial"/>
          <w:b/>
          <w:bCs/>
          <w:color w:val="1E293B"/>
          <w:sz w:val="20"/>
          <w:szCs w:val="20"/>
        </w:rPr>
        <w:t xml:space="preserve">time to a comparable quote</w:t>
      </w:r>
      <w:r>
        <w:rPr>
          <w:rFonts w:ascii="Arial" w:cs="Arial" w:eastAsia="Arial" w:hAnsi="Arial"/>
          <w:color w:val="1E293B"/>
          <w:sz w:val="20"/>
          <w:szCs w:val="20"/>
        </w:rPr>
        <w:t xml:space="preserve">, not time to extract one.</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Quote Desk</dc:creator>
  <cp:lastModifiedBy>Un-named</cp:lastModifiedBy>
  <cp:revision>1</cp:revision>
  <dcterms:created xsi:type="dcterms:W3CDTF">2026-10-10T11:45:15.763Z</dcterms:created>
  <dcterms:modified xsi:type="dcterms:W3CDTF">2026-10-10T11:45:15.763Z</dcterms:modified>
</cp:coreProperties>
</file>

<file path=docProps/custom.xml><?xml version="1.0" encoding="utf-8"?>
<Properties xmlns="http://schemas.openxmlformats.org/officeDocument/2006/custom-properties" xmlns:vt="http://schemas.openxmlformats.org/officeDocument/2006/docPropsVTypes"/>
</file>