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PacificCorr Global Pte. Ltd.</w:t>
      </w:r>
    </w:p>
    <w:p>
      <w:r>
        <w:t>Commercial Proposal: Corrugated Packaging Supply, FY 2026-27</w:t>
        <w:br/>
        <w:t>06 October 2026</w:t>
      </w:r>
    </w:p>
    <w:p>
      <w:pPr>
        <w:pStyle w:val="Heading2"/>
      </w:pPr>
      <w:r>
        <w:t>Our understanding</w:t>
      </w:r>
    </w:p>
    <w:p>
      <w:r>
        <w:t>Thank you for inviting PacificCorr to participate. We have reviewed all thirty items in your enquiry and confirm we can supply the full range from our Johor Bahru plant.</w:t>
      </w:r>
    </w:p>
    <w:p>
      <w:pPr>
        <w:pStyle w:val="Heading2"/>
      </w:pPr>
      <w:r>
        <w:t>Commercial offer</w:t>
      </w:r>
    </w:p>
    <w:p>
      <w:r>
        <w:t>Because kraft liner is traded in dollars, our offer is on a weight basis in US dollars rather than per box. For all 3-ply items we offer USD 0.42 per kg, and for all 5-ply items USD 0.465 per kg. 7-ply heavy-duty items are offered at USD 0.51 per kg, with the exception of the two pallet boxes (your lines 28 and 29), which need a wider machine and are offered at USD 0.55 per kg. Weights will be billed as per the box weights stated in your specification. Prices are CIF Nhava Sheva; Indian customs duty, port clearance and inland freight to your warehouse are to your account. This offer is valid for 15 days from the date above. Payment is by irrevocable letter of credit at sight.</w:t>
      </w:r>
    </w:p>
    <w:p>
      <w:pPr>
        <w:pStyle w:val="Heading2"/>
      </w:pPr>
      <w:r>
        <w:t>Quality and capability</w:t>
      </w:r>
    </w:p>
    <w:p>
      <w:r>
        <w:t>Our plant is certified to ISO 9001:2015 (certificate attached, valid through 30 November 2027) and holds FSC chain of custody. A burst and compression test report is issued for each production lot and travels with the shipping documents. Installed capacity is 6,000 tonnes a month. Please allow 35 days from order to arrival at port. We are unable to offer open credit to new customers. Group revenue was USD 60 million in 2025 and we have been operating since 2001. We are not rated by an Indian credit rating agency.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