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E293B"/>
          <w:sz w:val="34"/>
          <w:szCs w:val="34"/>
        </w:rPr>
        <w:t xml:space="preserve">Quote Desk: how it is built</w:t>
      </w:r>
    </w:p>
    <w:p>
      <w:pPr>
        <w:spacing w:after="120"/>
      </w:pPr>
      <w:r>
        <w:rPr>
          <w:rFonts w:ascii="Arial" w:cs="Arial" w:eastAsia="Arial" w:hAnsi="Arial"/>
          <w:color w:val="64748B"/>
          <w:sz w:val="20"/>
          <w:szCs w:val="20"/>
        </w:rPr>
        <w:t xml:space="preserve">Prototype for the “Kill the Quote Spreadsheet” assignment</w:t>
      </w:r>
    </w:p>
    <w:p>
      <w:pPr>
        <w:spacing w:after="90" w:line="264"/>
      </w:pPr>
      <w:r>
        <w:rPr>
          <w:rFonts w:ascii="Arial" w:cs="Arial" w:eastAsia="Arial" w:hAnsi="Arial"/>
          <w:color w:val="1E293B"/>
          <w:sz w:val="19"/>
          <w:szCs w:val="19"/>
        </w:rPr>
        <w:t xml:space="preserve">Quote Desk lets a category buyer draft an RFx by conversation, accepts vendor replies in any format, reads them into one comparison in the same unit and currency, and answers questions about the result in plain language. This document describes what was built, how the parts fit, and what was measured.</w:t>
      </w:r>
    </w:p>
    <w:p>
      <w:pPr>
        <w:keepNext/>
        <w:pBdr>
          <w:bottom w:val="single" w:color="CBD5E1" w:sz="6" w:space="2"/>
        </w:pBdr>
        <w:spacing w:after="70" w:before="170"/>
      </w:pPr>
      <w:r>
        <w:rPr>
          <w:rFonts w:ascii="Arial" w:cs="Arial" w:eastAsia="Arial" w:hAnsi="Arial"/>
          <w:b/>
          <w:bCs/>
          <w:color w:val="4338CA"/>
          <w:spacing w:val="20"/>
          <w:sz w:val="17"/>
          <w:szCs w:val="17"/>
        </w:rPr>
        <w:t xml:space="preserve">1. THE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3216"/>
        <w:gridCol w:w="4873"/>
      </w:tblGrid>
      <w:tr>
        <w:trPr>
          <w:tblHeader/>
        </w:trPr>
        <w:tc>
          <w:tcPr>
            <w:tcW w:type="dxa" w:w="1657"/>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Step</w:t>
            </w:r>
          </w:p>
        </w:tc>
        <w:tc>
          <w:tcPr>
            <w:tcW w:type="dxa" w:w="3216"/>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What the buyer does</w:t>
            </w:r>
          </w:p>
        </w:tc>
        <w:tc>
          <w:tcPr>
            <w:tcW w:type="dxa" w:w="4873"/>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What the system does</w:t>
            </w:r>
          </w:p>
        </w:tc>
      </w:tr>
      <w:tr>
        <w:trPr>
          <w:cantSplit/>
        </w:trPr>
        <w:tc>
          <w:tcPr>
            <w:tcW w:type="dxa" w:w="1657"/>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1. Draft the RFx</w:t>
            </w:r>
          </w:p>
        </w:tc>
        <w:tc>
          <w:tcPr>
            <w:tcW w:type="dxa" w:w="321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Types, speaks or uploads a requirement document</w:t>
            </w:r>
          </w:p>
        </w:tc>
        <w:tc>
          <w:tcPr>
            <w:tcW w:type="dxa" w:w="487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Co-pilot builds a structured draft (scope, line items, questionnaire, terms) and lists what is still missing</w:t>
            </w:r>
          </w:p>
        </w:tc>
      </w:tr>
      <w:tr>
        <w:trPr>
          <w:cantSplit/>
        </w:trPr>
        <w:tc>
          <w:tcPr>
            <w:tcW w:type="dxa" w:w="1657"/>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2. Vendor replies</w:t>
            </w:r>
          </w:p>
        </w:tc>
        <w:tc>
          <w:tcPr>
            <w:tcW w:type="dxa" w:w="321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Sends the RFx; adds replies as they arrive</w:t>
            </w:r>
          </w:p>
        </w:tc>
        <w:tc>
          <w:tcPr>
            <w:tcW w:type="dxa" w:w="487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Reads each reply and shows how each file was read and why. Email itself is stubbed</w:t>
            </w:r>
          </w:p>
        </w:tc>
      </w:tr>
      <w:tr>
        <w:trPr>
          <w:cantSplit/>
        </w:trPr>
        <w:tc>
          <w:tcPr>
            <w:tcW w:type="dxa" w:w="1657"/>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3. Compare</w:t>
            </w:r>
          </w:p>
        </w:tc>
        <w:tc>
          <w:tcPr>
            <w:tcW w:type="dxa" w:w="321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Reviews flagged cells; confirms or corrects them</w:t>
            </w:r>
          </w:p>
        </w:tc>
        <w:tc>
          <w:tcPr>
            <w:tcW w:type="dxa" w:w="487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One grid: totals, terms, questionnaire, documents, vendor risk and every line, with a status on each cell</w:t>
            </w:r>
          </w:p>
        </w:tc>
      </w:tr>
      <w:tr>
        <w:trPr>
          <w:cantSplit/>
        </w:trPr>
        <w:tc>
          <w:tcPr>
            <w:tcW w:type="dxa" w:w="1657"/>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4. Ask the analyst</w:t>
            </w:r>
          </w:p>
        </w:tc>
        <w:tc>
          <w:tcPr>
            <w:tcW w:type="dxa" w:w="321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Asks questions; runs award scenarios</w:t>
            </w:r>
          </w:p>
        </w:tc>
        <w:tc>
          <w:tcPr>
            <w:tcW w:type="dxa" w:w="487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Answers with tables, charts, caveats, Excel export and the working behind each answer</w:t>
            </w:r>
          </w:p>
        </w:tc>
      </w:tr>
    </w:tbl>
    <w:p>
      <w:pPr>
        <w:spacing w:after="60"/>
      </w:pPr>
    </w:p>
    <w:p>
      <w:pPr>
        <w:spacing w:after="90" w:line="264"/>
      </w:pPr>
      <w:r>
        <w:rPr>
          <w:rFonts w:ascii="Arial" w:cs="Arial" w:eastAsia="Arial" w:hAnsi="Arial"/>
          <w:color w:val="1E293B"/>
          <w:sz w:val="19"/>
          <w:szCs w:val="19"/>
        </w:rPr>
        <w:t xml:space="preserve">The buyer signs in to a dashboard of their RFx events, each showing its stage: draft, sent and awaiting replies, or replies in. Each RFx keeps its own data and its own saved analyst conversations.</w:t>
      </w:r>
    </w:p>
    <w:p>
      <w:pPr>
        <w:keepNext/>
        <w:pBdr>
          <w:bottom w:val="single" w:color="CBD5E1" w:sz="6" w:space="2"/>
        </w:pBdr>
        <w:spacing w:after="70" w:before="170"/>
      </w:pPr>
      <w:r>
        <w:rPr>
          <w:rFonts w:ascii="Arial" w:cs="Arial" w:eastAsia="Arial" w:hAnsi="Arial"/>
          <w:b/>
          <w:bCs/>
          <w:color w:val="4338CA"/>
          <w:spacing w:val="20"/>
          <w:sz w:val="17"/>
          <w:szCs w:val="17"/>
        </w:rPr>
        <w:t xml:space="preserve">2.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3606"/>
        <w:gridCol w:w="4678"/>
      </w:tblGrid>
      <w:tr>
        <w:trPr>
          <w:tblHeader/>
        </w:trPr>
        <w:tc>
          <w:tcPr>
            <w:tcW w:type="dxa" w:w="1462"/>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Layer</w:t>
            </w:r>
          </w:p>
        </w:tc>
        <w:tc>
          <w:tcPr>
            <w:tcW w:type="dxa" w:w="3606"/>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Technology</w:t>
            </w:r>
          </w:p>
        </w:tc>
        <w:tc>
          <w:tcPr>
            <w:tcW w:type="dxa" w:w="4678"/>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Why</w:t>
            </w:r>
          </w:p>
        </w:tc>
      </w:tr>
      <w:tr>
        <w:trPr>
          <w:cantSplit/>
        </w:trPr>
        <w:tc>
          <w:tcPr>
            <w:tcW w:type="dxa" w:w="1462"/>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Web app</w:t>
            </w:r>
          </w:p>
        </w:tc>
        <w:tc>
          <w:tcPr>
            <w:tcW w:type="dxa" w:w="360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React, Vite, Tailwind, Recharts</w:t>
            </w:r>
          </w:p>
        </w:tc>
        <w:tc>
          <w:tcPr>
            <w:tcW w:type="dxa" w:w="4678"/>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 dense comparison grid with a click-through evidence panel needs a real front end</w:t>
            </w:r>
          </w:p>
        </w:tc>
      </w:tr>
      <w:tr>
        <w:trPr>
          <w:cantSplit/>
        </w:trPr>
        <w:tc>
          <w:tcPr>
            <w:tcW w:type="dxa" w:w="1462"/>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Server</w:t>
            </w:r>
          </w:p>
        </w:tc>
        <w:tc>
          <w:tcPr>
            <w:tcW w:type="dxa" w:w="360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Python, FastAPI (one process)</w:t>
            </w:r>
          </w:p>
        </w:tc>
        <w:tc>
          <w:tcPr>
            <w:tcW w:type="dxa" w:w="4678"/>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Serves both the web app and the API; simple to run and to host</w:t>
            </w:r>
          </w:p>
        </w:tc>
      </w:tr>
      <w:tr>
        <w:trPr>
          <w:cantSplit/>
        </w:trPr>
        <w:tc>
          <w:tcPr>
            <w:tcW w:type="dxa" w:w="1462"/>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AI model</w:t>
            </w:r>
          </w:p>
        </w:tc>
        <w:tc>
          <w:tcPr>
            <w:tcW w:type="dxa" w:w="360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OpenAI API (gpt-5.5): vision, structured outputs, tool calling</w:t>
            </w:r>
          </w:p>
        </w:tc>
        <w:tc>
          <w:tcPr>
            <w:tcW w:type="dxa" w:w="4678"/>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The only external dependency. Chosen by measured accuracy on the angled photo</w:t>
            </w:r>
          </w:p>
        </w:tc>
      </w:tr>
      <w:tr>
        <w:trPr>
          <w:cantSplit/>
        </w:trPr>
        <w:tc>
          <w:tcPr>
            <w:tcW w:type="dxa" w:w="1462"/>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OCR</w:t>
            </w:r>
          </w:p>
        </w:tc>
        <w:tc>
          <w:tcPr>
            <w:tcW w:type="dxa" w:w="360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Tesseract, on the server</w:t>
            </w:r>
          </w:p>
        </w:tc>
        <w:tc>
          <w:tcPr>
            <w:tcW w:type="dxa" w:w="4678"/>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 second, independent opinion on every number read from an image</w:t>
            </w:r>
          </w:p>
        </w:tc>
      </w:tr>
      <w:tr>
        <w:trPr>
          <w:cantSplit/>
        </w:trPr>
        <w:tc>
          <w:tcPr>
            <w:tcW w:type="dxa" w:w="1462"/>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File readers</w:t>
            </w:r>
          </w:p>
        </w:tc>
        <w:tc>
          <w:tcPr>
            <w:tcW w:type="dxa" w:w="360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pymupdf, openpyxl, python-docx</w:t>
            </w:r>
          </w:p>
        </w:tc>
        <w:tc>
          <w:tcPr>
            <w:tcW w:type="dxa" w:w="4678"/>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Excel, Word and digital PDFs are read exactly, with no model involved</w:t>
            </w:r>
          </w:p>
        </w:tc>
      </w:tr>
      <w:tr>
        <w:trPr>
          <w:cantSplit/>
        </w:trPr>
        <w:tc>
          <w:tcPr>
            <w:tcW w:type="dxa" w:w="1462"/>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Storage</w:t>
            </w:r>
          </w:p>
        </w:tc>
        <w:tc>
          <w:tcPr>
            <w:tcW w:type="dxa" w:w="360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SQLite, one file per RFx</w:t>
            </w:r>
          </w:p>
        </w:tc>
        <w:tc>
          <w:tcPr>
            <w:tcW w:type="dxa" w:w="4678"/>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Events cannot leak into each other; the analyst sees only the RFx on screen</w:t>
            </w:r>
          </w:p>
        </w:tc>
      </w:tr>
      <w:tr>
        <w:trPr>
          <w:cantSplit/>
        </w:trPr>
        <w:tc>
          <w:tcPr>
            <w:tcW w:type="dxa" w:w="1462"/>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Email</w:t>
            </w:r>
          </w:p>
        </w:tc>
        <w:tc>
          <w:tcPr>
            <w:tcW w:type="dxa" w:w="3606"/>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Stubbed</w:t>
            </w:r>
          </w:p>
        </w:tc>
        <w:tc>
          <w:tcPr>
            <w:tcW w:type="dxa" w:w="4678"/>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The brief allows it. Replies enter as uploaded files or pasted text</w:t>
            </w:r>
          </w:p>
        </w:tc>
      </w:tr>
    </w:tbl>
    <w:p>
      <w:pPr>
        <w:keepNext/>
        <w:pBdr>
          <w:bottom w:val="single" w:color="CBD5E1" w:sz="6" w:space="2"/>
        </w:pBdr>
        <w:spacing w:after="70" w:before="170"/>
      </w:pPr>
      <w:r>
        <w:rPr>
          <w:rFonts w:ascii="Arial" w:cs="Arial" w:eastAsia="Arial" w:hAnsi="Arial"/>
          <w:b/>
          <w:bCs/>
          <w:color w:val="4338CA"/>
          <w:spacing w:val="20"/>
          <w:sz w:val="17"/>
          <w:szCs w:val="17"/>
        </w:rPr>
        <w:t xml:space="preserve">3. THE THREE AI LOOPS</w:t>
      </w:r>
    </w:p>
    <w:p>
      <w:pPr>
        <w:spacing w:after="90" w:line="264"/>
      </w:pPr>
      <w:r>
        <w:rPr>
          <w:rFonts w:ascii="Arial" w:cs="Arial" w:eastAsia="Arial" w:hAnsi="Arial"/>
          <w:color w:val="1E293B"/>
          <w:sz w:val="19"/>
          <w:szCs w:val="19"/>
        </w:rPr>
        <w:t xml:space="preserve">Each loop splits the work the same way: the model reads or reasons, and plain code computes and stores.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1364"/>
        <w:gridCol w:w="3314"/>
        <w:gridCol w:w="3509"/>
      </w:tblGrid>
      <w:tr>
        <w:trPr>
          <w:tblHeader/>
        </w:trPr>
        <w:tc>
          <w:tcPr>
            <w:tcW w:type="dxa" w:w="1559"/>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Loop</w:t>
            </w:r>
          </w:p>
        </w:tc>
        <w:tc>
          <w:tcPr>
            <w:tcW w:type="dxa" w:w="1364"/>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Kind</w:t>
            </w:r>
          </w:p>
        </w:tc>
        <w:tc>
          <w:tcPr>
            <w:tcW w:type="dxa" w:w="3314"/>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What the model does</w:t>
            </w:r>
          </w:p>
        </w:tc>
        <w:tc>
          <w:tcPr>
            <w:tcW w:type="dxa" w:w="3509"/>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What code does</w:t>
            </w:r>
          </w:p>
        </w:tc>
      </w:tr>
      <w:tr>
        <w:trPr>
          <w:cantSplit/>
        </w:trPr>
        <w:tc>
          <w:tcPr>
            <w:tcW w:type="dxa" w:w="155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RFx co-pilot</w:t>
            </w:r>
          </w:p>
        </w:tc>
        <w:tc>
          <w:tcPr>
            <w:tcW w:type="dxa" w:w="136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Conversation</w:t>
            </w:r>
          </w:p>
        </w:tc>
        <w:tc>
          <w:tcPr>
            <w:tcW w:type="dxa" w:w="331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Proposes changes to the draft; asks for what is missing</w:t>
            </w:r>
          </w:p>
        </w:tc>
        <w:tc>
          <w:tcPr>
            <w:tcW w:type="dxa" w:w="350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Applies each change to the stored draft; builds the outgoing email</w:t>
            </w:r>
          </w:p>
        </w:tc>
      </w:tr>
      <w:tr>
        <w:trPr>
          <w:cantSplit/>
        </w:trPr>
        <w:tc>
          <w:tcPr>
            <w:tcW w:type="dxa" w:w="155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Reading pipeline</w:t>
            </w:r>
          </w:p>
        </w:tc>
        <w:tc>
          <w:tcPr>
            <w:tcW w:type="dxa" w:w="136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Fixed pipeline</w:t>
            </w:r>
          </w:p>
        </w:tc>
        <w:tc>
          <w:tcPr>
            <w:tcW w:type="dxa" w:w="331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Records what the vendor wrote, mapped to RFx lines, with a source quote</w:t>
            </w:r>
          </w:p>
        </w:tc>
        <w:tc>
          <w:tcPr>
            <w:tcW w:type="dxa" w:w="350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Chooses the reading mode; converts units and currency; runs checks; decides the quality gate</w:t>
            </w:r>
          </w:p>
        </w:tc>
      </w:tr>
      <w:tr>
        <w:trPr>
          <w:cantSplit/>
        </w:trPr>
        <w:tc>
          <w:tcPr>
            <w:tcW w:type="dxa" w:w="155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Analyst</w:t>
            </w:r>
          </w:p>
        </w:tc>
        <w:tc>
          <w:tcPr>
            <w:tcW w:type="dxa" w:w="136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Agent with tools</w:t>
            </w:r>
          </w:p>
        </w:tc>
        <w:tc>
          <w:tcPr>
            <w:tcW w:type="dxa" w:w="331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Decides which tool to use, in up to ten steps; writes the answer</w:t>
            </w:r>
          </w:p>
        </w:tc>
        <w:tc>
          <w:tcPr>
            <w:tcW w:type="dxa" w:w="350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Runs the query or award scenario; builds every table and chart</w:t>
            </w:r>
          </w:p>
        </w:tc>
      </w:tr>
    </w:tbl>
    <w:p>
      <w:pPr>
        <w:spacing w:after="60"/>
      </w:pPr>
    </w:p>
    <w:p>
      <w:pPr>
        <w:spacing w:after="90" w:line="264"/>
      </w:pPr>
      <w:r>
        <w:rPr>
          <w:rFonts w:ascii="Arial" w:cs="Arial" w:eastAsia="Arial" w:hAnsi="Arial"/>
          <w:color w:val="1E293B"/>
          <w:sz w:val="19"/>
          <w:szCs w:val="19"/>
        </w:rPr>
        <w:t xml:space="preserve">A fourth, small model call drafts a clarification email to a vendor from that vendor’s flagged cells and open points. It is never sent automatically.</w:t>
      </w:r>
    </w:p>
    <w:p>
      <w:pPr>
        <w:keepNext/>
        <w:pBdr>
          <w:bottom w:val="single" w:color="CBD5E1" w:sz="6" w:space="2"/>
        </w:pBdr>
        <w:spacing w:after="70" w:before="170"/>
      </w:pPr>
      <w:r>
        <w:rPr>
          <w:rFonts w:ascii="Arial" w:cs="Arial" w:eastAsia="Arial" w:hAnsi="Arial"/>
          <w:b/>
          <w:bCs/>
          <w:color w:val="4338CA"/>
          <w:spacing w:val="20"/>
          <w:sz w:val="17"/>
          <w:szCs w:val="17"/>
        </w:rPr>
        <w:t xml:space="preserve">4. THE READING PIPELINE IN DETAIL</w:t>
      </w:r>
    </w:p>
    <w:p>
      <w:pPr>
        <w:pStyle w:val="ListParagraph"/>
        <w:numPr>
          <w:ilvl w:val="0"/>
          <w:numId w:val="2"/>
        </w:numPr>
        <w:spacing w:after="50" w:line="258"/>
      </w:pPr>
      <w:r>
        <w:rPr>
          <w:rFonts w:ascii="Arial" w:cs="Arial" w:eastAsia="Arial" w:hAnsi="Arial"/>
          <w:b/>
          <w:bCs/>
          <w:color w:val="1E293B"/>
          <w:sz w:val="19"/>
          <w:szCs w:val="19"/>
        </w:rPr>
        <w:t xml:space="preserve">Stage 1, open the file (code).</w:t>
      </w:r>
      <w:r>
        <w:rPr>
          <w:rFonts w:ascii="Arial" w:cs="Arial" w:eastAsia="Arial" w:hAnsi="Arial"/>
          <w:color w:val="1E293B"/>
          <w:sz w:val="19"/>
          <w:szCs w:val="19"/>
        </w:rPr>
        <w:t xml:space="preserve"> Four reading modes, chosen per file and shown to the buyer with the reason: direct text, OCR, vision, or OCR plus vision. For images, OCR runs first. A table in an image goes to the vision model for layout, with OCR’s numbers kept as a cross-check, because OCR reads words well but loses which rate belongs to which row.</w:t>
      </w:r>
    </w:p>
    <w:p>
      <w:pPr>
        <w:pStyle w:val="ListParagraph"/>
        <w:numPr>
          <w:ilvl w:val="0"/>
          <w:numId w:val="2"/>
        </w:numPr>
        <w:spacing w:after="50" w:line="258"/>
      </w:pPr>
      <w:r>
        <w:rPr>
          <w:rFonts w:ascii="Arial" w:cs="Arial" w:eastAsia="Arial" w:hAnsi="Arial"/>
          <w:b/>
          <w:bCs/>
          <w:color w:val="1E293B"/>
          <w:sz w:val="19"/>
          <w:szCs w:val="19"/>
        </w:rPr>
        <w:t xml:space="preserve">Stage 2, read what the vendor said (model).</w:t>
      </w:r>
      <w:r>
        <w:rPr>
          <w:rFonts w:ascii="Arial" w:cs="Arial" w:eastAsia="Arial" w:hAnsi="Arial"/>
          <w:color w:val="1E293B"/>
          <w:sz w:val="19"/>
          <w:szCs w:val="19"/>
        </w:rPr>
        <w:t xml:space="preserve"> One call per vendor, against a fixed schema. It records prices exactly as written and never converts or calculates. Rules such as “all 3-ply at X per kg” and statements such as “rest same as last year” are recorded as such.</w:t>
      </w:r>
    </w:p>
    <w:p>
      <w:pPr>
        <w:pStyle w:val="ListParagraph"/>
        <w:numPr>
          <w:ilvl w:val="0"/>
          <w:numId w:val="2"/>
        </w:numPr>
        <w:spacing w:after="50" w:line="258"/>
      </w:pPr>
      <w:r>
        <w:rPr>
          <w:rFonts w:ascii="Arial" w:cs="Arial" w:eastAsia="Arial" w:hAnsi="Arial"/>
          <w:b/>
          <w:bCs/>
          <w:color w:val="1E293B"/>
          <w:sz w:val="19"/>
          <w:szCs w:val="19"/>
        </w:rPr>
        <w:t xml:space="preserve">Stage 3, normalise and check (code).</w:t>
      </w:r>
      <w:r>
        <w:rPr>
          <w:rFonts w:ascii="Arial" w:cs="Arial" w:eastAsia="Arial" w:hAnsi="Arial"/>
          <w:color w:val="1E293B"/>
          <w:sz w:val="19"/>
          <w:szCs w:val="19"/>
        </w:rPr>
        <w:t xml:space="preserve"> Converts to rupees per unit with a visible formula. Flags a cell when the model stated doubt, the number is not in the source text, OCR and vision disagree, or the price is more than 35% from last year’s. Two implausible prices from one image put every row of that image up for review.</w:t>
      </w:r>
    </w:p>
    <w:p>
      <w:pPr>
        <w:pStyle w:val="ListParagraph"/>
        <w:numPr>
          <w:ilvl w:val="0"/>
          <w:numId w:val="2"/>
        </w:numPr>
        <w:spacing w:after="50" w:line="258"/>
      </w:pPr>
      <w:r>
        <w:rPr>
          <w:rFonts w:ascii="Arial" w:cs="Arial" w:eastAsia="Arial" w:hAnsi="Arial"/>
          <w:b/>
          <w:bCs/>
          <w:color w:val="1E293B"/>
          <w:sz w:val="19"/>
          <w:szCs w:val="19"/>
        </w:rPr>
        <w:t xml:space="preserve">Quality gate (code).</w:t>
      </w:r>
      <w:r>
        <w:rPr>
          <w:rFonts w:ascii="Arial" w:cs="Arial" w:eastAsia="Arial" w:hAnsi="Arial"/>
          <w:color w:val="1E293B"/>
          <w:sz w:val="19"/>
          <w:szCs w:val="19"/>
        </w:rPr>
        <w:t xml:space="preserve"> The model reads the certificate’s expiry date; code compares it with today. Outcomes: cleared, failed or unverified.</w:t>
      </w:r>
    </w:p>
    <w:p>
      <w:pPr>
        <w:keepNext/>
        <w:pBdr>
          <w:bottom w:val="single" w:color="CBD5E1" w:sz="6" w:space="2"/>
        </w:pBdr>
        <w:spacing w:after="70" w:before="170"/>
      </w:pPr>
      <w:r>
        <w:rPr>
          <w:rFonts w:ascii="Arial" w:cs="Arial" w:eastAsia="Arial" w:hAnsi="Arial"/>
          <w:b/>
          <w:bCs/>
          <w:color w:val="4338CA"/>
          <w:spacing w:val="20"/>
          <w:sz w:val="17"/>
          <w:szCs w:val="17"/>
        </w:rPr>
        <w:t xml:space="preserve">5. THE DEMO DATASET AND ITS PLANTED PROBLEMS</w:t>
      </w:r>
    </w:p>
    <w:p>
      <w:pPr>
        <w:spacing w:after="90" w:line="264"/>
      </w:pPr>
      <w:r>
        <w:rPr>
          <w:rFonts w:ascii="Arial" w:cs="Arial" w:eastAsia="Arial" w:hAnsi="Arial"/>
          <w:color w:val="1E293B"/>
          <w:sz w:val="19"/>
          <w:szCs w:val="19"/>
        </w:rPr>
        <w:t xml:space="preserve">One RFx for corrugated boxes: 30 line items, about ₹4 crore a year, an eight-question questionnaire, five vendors. A script generates every vendor file and the true answers from one price matrix. The app never reads the true answers; they exist only to score extraction.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3509"/>
        <w:gridCol w:w="4093"/>
      </w:tblGrid>
      <w:tr>
        <w:trPr>
          <w:tblHeader/>
        </w:trPr>
        <w:tc>
          <w:tcPr>
            <w:tcW w:type="dxa" w:w="2144"/>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Vendor reply</w:t>
            </w:r>
          </w:p>
        </w:tc>
        <w:tc>
          <w:tcPr>
            <w:tcW w:type="dxa" w:w="3509"/>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Planted problem</w:t>
            </w:r>
          </w:p>
        </w:tc>
        <w:tc>
          <w:tcPr>
            <w:tcW w:type="dxa" w:w="4093"/>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What the buyer sees</w:t>
            </w:r>
          </w:p>
        </w:tc>
      </w:tr>
      <w:tr>
        <w:trPr>
          <w:cantSplit/>
        </w:trPr>
        <w:tc>
          <w:tcPr>
            <w:tcW w:type="dxa" w:w="214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Excel in the vendor’s own layout</w:t>
            </w:r>
          </w:p>
        </w:tc>
        <w:tc>
          <w:tcPr>
            <w:tcW w:type="dxa" w:w="350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Own item codes and order; priced per 100 pieces</w:t>
            </w:r>
          </w:p>
        </w:tc>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Lines matched by size and ply; price divided by 100, formula shown</w:t>
            </w:r>
          </w:p>
        </w:tc>
      </w:tr>
      <w:tr>
        <w:trPr>
          <w:cantSplit/>
        </w:trPr>
        <w:tc>
          <w:tcPr>
            <w:tcW w:type="dxa" w:w="214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PDF on letterhead</w:t>
            </w:r>
          </w:p>
        </w:tc>
        <w:tc>
          <w:tcPr>
            <w:tcW w:type="dxa" w:w="350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27 of 30 lines; 4% rebate in a footnote</w:t>
            </w:r>
          </w:p>
        </w:tc>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Three cells “not quoted”; rebate shown as conditional and not applied</w:t>
            </w:r>
          </w:p>
        </w:tc>
      </w:tr>
      <w:tr>
        <w:trPr>
          <w:cantSplit/>
        </w:trPr>
        <w:tc>
          <w:tcPr>
            <w:tcW w:type="dxa" w:w="214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Word document</w:t>
            </w:r>
          </w:p>
        </w:tc>
        <w:tc>
          <w:tcPr>
            <w:tcW w:type="dxa" w:w="350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Prices in a paragraph, in USD per kg, delivered to port only</w:t>
            </w:r>
          </w:p>
        </w:tc>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Converted by box weight and an editable FX rate; duty and inland freight shown as excluded</w:t>
            </w:r>
          </w:p>
        </w:tc>
      </w:tr>
      <w:tr>
        <w:trPr>
          <w:cantSplit/>
        </w:trPr>
        <w:tc>
          <w:tcPr>
            <w:tcW w:type="dxa" w:w="214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Angled phone photo</w:t>
            </w:r>
          </w:p>
        </w:tc>
        <w:tc>
          <w:tcPr>
            <w:tcW w:type="dxa" w:w="350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One smudged rate; freight extra; ISO certificate expired</w:t>
            </w:r>
          </w:p>
        </w:tc>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Smudged cell flagged with the photo beside it; quality gate failed, with the expiry date</w:t>
            </w:r>
          </w:p>
        </w:tc>
      </w:tr>
      <w:tr>
        <w:trPr>
          <w:cantSplit/>
        </w:trPr>
        <w:tc>
          <w:tcPr>
            <w:tcW w:type="dxa" w:w="2144"/>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One-line email</w:t>
            </w:r>
          </w:p>
        </w:tc>
        <w:tc>
          <w:tcPr>
            <w:tcW w:type="dxa" w:w="3509"/>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Two rates per kg, “rest same as last year”, freight extra, no certificate</w:t>
            </w:r>
          </w:p>
        </w:tc>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Six lines filled from last year and marked assumed; quality gate unverified</w:t>
            </w:r>
          </w:p>
        </w:tc>
      </w:tr>
    </w:tbl>
    <w:p>
      <w:pPr>
        <w:keepNext/>
        <w:pBdr>
          <w:bottom w:val="single" w:color="CBD5E1" w:sz="6" w:space="2"/>
        </w:pBdr>
        <w:spacing w:after="70" w:before="170"/>
      </w:pPr>
      <w:r>
        <w:rPr>
          <w:rFonts w:ascii="Arial" w:cs="Arial" w:eastAsia="Arial" w:hAnsi="Arial"/>
          <w:b/>
          <w:bCs/>
          <w:color w:val="4338CA"/>
          <w:spacing w:val="20"/>
          <w:sz w:val="17"/>
          <w:szCs w:val="17"/>
        </w:rPr>
        <w:t xml:space="preserve">6. WHAT EARNS THE BUYER’S TRUST</w:t>
      </w:r>
    </w:p>
    <w:p>
      <w:pPr>
        <w:pStyle w:val="ListParagraph"/>
        <w:numPr>
          <w:ilvl w:val="0"/>
          <w:numId w:val="2"/>
        </w:numPr>
        <w:spacing w:after="50" w:line="258"/>
      </w:pPr>
      <w:r>
        <w:rPr>
          <w:rFonts w:ascii="Arial" w:cs="Arial" w:eastAsia="Arial" w:hAnsi="Arial"/>
          <w:b/>
          <w:bCs/>
          <w:color w:val="1E293B"/>
          <w:sz w:val="19"/>
          <w:szCs w:val="19"/>
        </w:rPr>
        <w:t xml:space="preserve">Every number is traceable.</w:t>
      </w:r>
      <w:r>
        <w:rPr>
          <w:rFonts w:ascii="Arial" w:cs="Arial" w:eastAsia="Arial" w:hAnsi="Arial"/>
          <w:color w:val="1E293B"/>
          <w:sz w:val="19"/>
          <w:szCs w:val="19"/>
        </w:rPr>
        <w:t xml:space="preserve"> A click on any cell shows the vendor’s words, the source document with the passage highlighted, the formula, and any reason for doubt.</w:t>
      </w:r>
    </w:p>
    <w:p>
      <w:pPr>
        <w:pStyle w:val="ListParagraph"/>
        <w:numPr>
          <w:ilvl w:val="0"/>
          <w:numId w:val="2"/>
        </w:numPr>
        <w:spacing w:after="50" w:line="258"/>
      </w:pPr>
      <w:r>
        <w:rPr>
          <w:rFonts w:ascii="Arial" w:cs="Arial" w:eastAsia="Arial" w:hAnsi="Arial"/>
          <w:b/>
          <w:bCs/>
          <w:color w:val="1E293B"/>
          <w:sz w:val="19"/>
          <w:szCs w:val="19"/>
        </w:rPr>
        <w:t xml:space="preserve">Two totals.</w:t>
      </w:r>
      <w:r>
        <w:rPr>
          <w:rFonts w:ascii="Arial" w:cs="Arial" w:eastAsia="Arial" w:hAnsi="Arial"/>
          <w:color w:val="1E293B"/>
          <w:sz w:val="19"/>
          <w:szCs w:val="19"/>
        </w:rPr>
        <w:t xml:space="preserve"> “Everything the vendor priced” flatters a vendor who skipped lines, so a like-for-like basket totals only the lines every vendor priced.</w:t>
      </w:r>
    </w:p>
    <w:p>
      <w:pPr>
        <w:pStyle w:val="ListParagraph"/>
        <w:numPr>
          <w:ilvl w:val="0"/>
          <w:numId w:val="2"/>
        </w:numPr>
        <w:spacing w:after="50" w:line="258"/>
      </w:pPr>
      <w:r>
        <w:rPr>
          <w:rFonts w:ascii="Arial" w:cs="Arial" w:eastAsia="Arial" w:hAnsi="Arial"/>
          <w:b/>
          <w:bCs/>
          <w:color w:val="1E293B"/>
          <w:sz w:val="19"/>
          <w:szCs w:val="19"/>
        </w:rPr>
        <w:t xml:space="preserve">Vendor risk sits beside price.</w:t>
      </w:r>
      <w:r>
        <w:rPr>
          <w:rFonts w:ascii="Arial" w:cs="Arial" w:eastAsia="Arial" w:hAnsi="Arial"/>
          <w:color w:val="1E293B"/>
          <w:sz w:val="19"/>
          <w:szCs w:val="19"/>
        </w:rPr>
        <w:t xml:space="preserve"> Five dimensions (compliance, financial standing, supply, commercial terms, quote firmness), each low, medium, high or “no information”, built by rule from what the vendor sent. Financials are vendor-declared and labelled as such; the overall level is the worst of the five.</w:t>
      </w:r>
    </w:p>
    <w:p>
      <w:pPr>
        <w:pStyle w:val="ListParagraph"/>
        <w:numPr>
          <w:ilvl w:val="0"/>
          <w:numId w:val="2"/>
        </w:numPr>
        <w:spacing w:after="50" w:line="258"/>
      </w:pPr>
      <w:r>
        <w:rPr>
          <w:rFonts w:ascii="Arial" w:cs="Arial" w:eastAsia="Arial" w:hAnsi="Arial"/>
          <w:b/>
          <w:bCs/>
          <w:color w:val="1E293B"/>
          <w:sz w:val="19"/>
          <w:szCs w:val="19"/>
        </w:rPr>
        <w:t xml:space="preserve">Buyer decisions are logged.</w:t>
      </w:r>
      <w:r>
        <w:rPr>
          <w:rFonts w:ascii="Arial" w:cs="Arial" w:eastAsia="Arial" w:hAnsi="Arial"/>
          <w:color w:val="1E293B"/>
          <w:sz w:val="19"/>
          <w:szCs w:val="19"/>
        </w:rPr>
        <w:t xml:space="preserve"> Confirming or correcting a cell records it, clears the flag, and protects the cell from later recalculation.</w:t>
      </w:r>
    </w:p>
    <w:p>
      <w:pPr>
        <w:pStyle w:val="ListParagraph"/>
        <w:numPr>
          <w:ilvl w:val="0"/>
          <w:numId w:val="2"/>
        </w:numPr>
        <w:spacing w:after="50" w:line="258"/>
      </w:pPr>
      <w:r>
        <w:rPr>
          <w:rFonts w:ascii="Arial" w:cs="Arial" w:eastAsia="Arial" w:hAnsi="Arial"/>
          <w:b/>
          <w:bCs/>
          <w:color w:val="1E293B"/>
          <w:sz w:val="19"/>
          <w:szCs w:val="19"/>
        </w:rPr>
        <w:t xml:space="preserve">Award scenarios are one deterministic function.</w:t>
      </w:r>
      <w:r>
        <w:rPr>
          <w:rFonts w:ascii="Arial" w:cs="Arial" w:eastAsia="Arial" w:hAnsi="Arial"/>
          <w:color w:val="1E293B"/>
          <w:sz w:val="19"/>
          <w:szCs w:val="19"/>
        </w:rPr>
        <w:t xml:space="preserve"> Its inputs are the levers a buyer pulls: eligibility by quality gate, a cap on vendor count, firm prices only, whether a rebate counts, and a freight or duty estimate per vendor.</w:t>
      </w:r>
    </w:p>
    <w:p>
      <w:pPr>
        <w:pStyle w:val="ListParagraph"/>
        <w:numPr>
          <w:ilvl w:val="0"/>
          <w:numId w:val="2"/>
        </w:numPr>
        <w:spacing w:after="50" w:line="258"/>
      </w:pPr>
      <w:r>
        <w:rPr>
          <w:rFonts w:ascii="Arial" w:cs="Arial" w:eastAsia="Arial" w:hAnsi="Arial"/>
          <w:b/>
          <w:bCs/>
          <w:color w:val="1E293B"/>
          <w:sz w:val="19"/>
          <w:szCs w:val="19"/>
        </w:rPr>
        <w:t xml:space="preserve">The analyst cannot change data.</w:t>
      </w:r>
      <w:r>
        <w:rPr>
          <w:rFonts w:ascii="Arial" w:cs="Arial" w:eastAsia="Arial" w:hAnsi="Arial"/>
          <w:color w:val="1E293B"/>
          <w:sz w:val="19"/>
          <w:szCs w:val="19"/>
        </w:rPr>
        <w:t xml:space="preserve"> Its database connection is read-only, and each Excel export carries a sheet stating the method, FX rate and caveats.</w:t>
      </w:r>
    </w:p>
    <w:p>
      <w:pPr>
        <w:keepNext/>
        <w:pBdr>
          <w:bottom w:val="single" w:color="CBD5E1" w:sz="6" w:space="2"/>
        </w:pBdr>
        <w:spacing w:after="70" w:before="170"/>
      </w:pPr>
      <w:r>
        <w:rPr>
          <w:rFonts w:ascii="Arial" w:cs="Arial" w:eastAsia="Arial" w:hAnsi="Arial"/>
          <w:b/>
          <w:bCs/>
          <w:color w:val="4338CA"/>
          <w:spacing w:val="20"/>
          <w:sz w:val="17"/>
          <w:szCs w:val="17"/>
        </w:rPr>
        <w:t xml:space="preserve">7. WHAT WAS MEASURED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93"/>
        <w:gridCol w:w="5653"/>
      </w:tblGrid>
      <w:tr>
        <w:trPr>
          <w:tblHeader/>
        </w:trPr>
        <w:tc>
          <w:tcPr>
            <w:tcW w:type="dxa" w:w="4093"/>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Measure</w:t>
            </w:r>
          </w:p>
        </w:tc>
        <w:tc>
          <w:tcPr>
            <w:tcW w:type="dxa" w:w="5653"/>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Result</w:t>
            </w:r>
          </w:p>
        </w:tc>
      </w:tr>
      <w:tr>
        <w:trPr>
          <w:cantSplit/>
        </w:trPr>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Extraction accuracy on the demo dataset</w:t>
            </w:r>
          </w:p>
        </w:tc>
        <w:tc>
          <w:tcPr>
            <w:tcW w:type="dxa" w:w="565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150 of 150 cells correct; 0 wrong and unflagged; all five quality-gate verdicts correct</w:t>
            </w:r>
          </w:p>
        </w:tc>
      </w:tr>
      <w:tr>
        <w:trPr>
          <w:cantSplit/>
        </w:trPr>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Cells flagged for review</w:t>
            </w:r>
          </w:p>
        </w:tc>
        <w:tc>
          <w:tcPr>
            <w:tcW w:type="dxa" w:w="565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2 of 150: the smudged rate, and one correct price OCR could not confirm</w:t>
            </w:r>
          </w:p>
        </w:tc>
      </w:tr>
      <w:tr>
        <w:trPr>
          <w:cantSplit/>
        </w:trPr>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Older model (gpt-4.1) on the angled photo</w:t>
            </w:r>
          </w:p>
        </w:tc>
        <w:tc>
          <w:tcPr>
            <w:tcW w:type="dxa" w:w="565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24 of 30 correct. With the image rule added, all six wrong prices are flagged</w:t>
            </w:r>
          </w:p>
        </w:tc>
      </w:tr>
      <w:tr>
        <w:trPr>
          <w:cantSplit/>
        </w:trPr>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Time to read five replies</w:t>
            </w:r>
          </w:p>
        </w:tc>
        <w:tc>
          <w:tcPr>
            <w:tcW w:type="dxa" w:w="565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About 40 seconds, in parallel</w:t>
            </w:r>
          </w:p>
        </w:tc>
      </w:tr>
      <w:tr>
        <w:trPr>
          <w:cantSplit/>
        </w:trPr>
        <w:tc>
          <w:tcPr>
            <w:tcW w:type="dxa" w:w="409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Analyst answer time</w:t>
            </w:r>
          </w:p>
        </w:tc>
        <w:tc>
          <w:tcPr>
            <w:tcW w:type="dxa" w:w="565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8 to 16 seconds across seven test questions</w:t>
            </w:r>
          </w:p>
        </w:tc>
      </w:tr>
    </w:tbl>
    <w:p>
      <w:pPr>
        <w:spacing w:after="60"/>
      </w:pPr>
    </w:p>
    <w:p>
      <w:pPr>
        <w:spacing w:after="90" w:line="264"/>
      </w:pPr>
      <w:r>
        <w:rPr>
          <w:rFonts w:ascii="Arial" w:cs="Arial" w:eastAsia="Arial" w:hAnsi="Arial"/>
          <w:color w:val="1E293B"/>
          <w:sz w:val="19"/>
          <w:szCs w:val="19"/>
        </w:rPr>
        <w:t xml:space="preserve">These figures come from a dataset I fabricated, so they are a check that the pipeline works, not a benchmark. A reply uploaded live goes through the same pipeline.</w:t>
      </w:r>
    </w:p>
    <w:p>
      <w:pPr>
        <w:keepNext/>
        <w:pBdr>
          <w:bottom w:val="single" w:color="CBD5E1" w:sz="6" w:space="2"/>
        </w:pBdr>
        <w:spacing w:after="70" w:before="170"/>
      </w:pPr>
      <w:r>
        <w:rPr>
          <w:rFonts w:ascii="Arial" w:cs="Arial" w:eastAsia="Arial" w:hAnsi="Arial"/>
          <w:b/>
          <w:bCs/>
          <w:color w:val="4338CA"/>
          <w:spacing w:val="20"/>
          <w:sz w:val="17"/>
          <w:szCs w:val="17"/>
        </w:rPr>
        <w:t xml:space="preserve">8. LIMITS</w:t>
      </w:r>
    </w:p>
    <w:p>
      <w:pPr>
        <w:pStyle w:val="ListParagraph"/>
        <w:numPr>
          <w:ilvl w:val="0"/>
          <w:numId w:val="2"/>
        </w:numPr>
        <w:spacing w:after="50" w:line="258"/>
      </w:pPr>
      <w:r>
        <w:rPr>
          <w:rFonts w:ascii="Arial" w:cs="Arial" w:eastAsia="Arial" w:hAnsi="Arial"/>
          <w:color w:val="1E293B"/>
          <w:sz w:val="19"/>
          <w:szCs w:val="19"/>
        </w:rPr>
        <w:t xml:space="preserve">Only INR and USD are converted; other currencies are marked unclear.</w:t>
      </w:r>
    </w:p>
    <w:p>
      <w:pPr>
        <w:pStyle w:val="ListParagraph"/>
        <w:numPr>
          <w:ilvl w:val="0"/>
          <w:numId w:val="2"/>
        </w:numPr>
        <w:spacing w:after="50" w:line="258"/>
      </w:pPr>
      <w:r>
        <w:rPr>
          <w:rFonts w:ascii="Arial" w:cs="Arial" w:eastAsia="Arial" w:hAnsi="Arial"/>
          <w:color w:val="1E293B"/>
          <w:sz w:val="19"/>
          <w:szCs w:val="19"/>
        </w:rPr>
        <w:t xml:space="preserve">Freight, duty and GST are not modelled. They are shown as gaps, and the buyer can add an estimate in a scenario.</w:t>
      </w:r>
    </w:p>
    <w:p>
      <w:pPr>
        <w:pStyle w:val="ListParagraph"/>
        <w:numPr>
          <w:ilvl w:val="0"/>
          <w:numId w:val="2"/>
        </w:numPr>
        <w:spacing w:after="50" w:line="258"/>
      </w:pPr>
      <w:r>
        <w:rPr>
          <w:rFonts w:ascii="Arial" w:cs="Arial" w:eastAsia="Arial" w:hAnsi="Arial"/>
          <w:color w:val="1E293B"/>
          <w:sz w:val="19"/>
          <w:szCs w:val="19"/>
        </w:rPr>
        <w:t xml:space="preserve">A new RFx has no last-year prices, so the checks that depend on them switch off for it.</w:t>
      </w:r>
    </w:p>
    <w:p>
      <w:pPr>
        <w:pStyle w:val="ListParagraph"/>
        <w:numPr>
          <w:ilvl w:val="0"/>
          <w:numId w:val="2"/>
        </w:numPr>
        <w:spacing w:after="50" w:line="258"/>
      </w:pPr>
      <w:r>
        <w:rPr>
          <w:rFonts w:ascii="Arial" w:cs="Arial" w:eastAsia="Arial" w:hAnsi="Arial"/>
          <w:color w:val="1E293B"/>
          <w:sz w:val="19"/>
          <w:szCs w:val="19"/>
        </w:rPr>
        <w:t xml:space="preserve">One sample buyer login protects the app. There are no accounts, roles or approvals.</w:t>
      </w:r>
    </w:p>
    <w:p>
      <w:pPr>
        <w:keepNext/>
        <w:pBdr>
          <w:bottom w:val="single" w:color="CBD5E1" w:sz="6" w:space="2"/>
        </w:pBdr>
        <w:spacing w:after="70" w:before="170"/>
      </w:pPr>
      <w:r>
        <w:rPr>
          <w:rFonts w:ascii="Arial" w:cs="Arial" w:eastAsia="Arial" w:hAnsi="Arial"/>
          <w:b/>
          <w:bCs/>
          <w:color w:val="4338CA"/>
          <w:spacing w:val="20"/>
          <w:sz w:val="17"/>
          <w:szCs w:val="17"/>
        </w:rPr>
        <w:t xml:space="preserve">9. REPOSITORY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3"/>
        <w:gridCol w:w="6043"/>
      </w:tblGrid>
      <w:tr>
        <w:trPr>
          <w:tblHeader/>
        </w:trPr>
        <w:tc>
          <w:tcPr>
            <w:tcW w:type="dxa" w:w="3703"/>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Path</w:t>
            </w:r>
          </w:p>
        </w:tc>
        <w:tc>
          <w:tcPr>
            <w:tcW w:type="dxa" w:w="6043"/>
            <w:tcBorders>
              <w:top w:val="single" w:color="CBD5E1" w:sz="4"/>
              <w:left w:val="single" w:color="CBD5E1" w:sz="4"/>
              <w:bottom w:val="single" w:color="CBD5E1" w:sz="4"/>
              <w:right w:val="single" w:color="CBD5E1" w:sz="4"/>
            </w:tcBorders>
            <w:shd w:fill="F1F5F9" w:color="auto" w:val="clear"/>
            <w:tcMar>
              <w:top w:type="dxa" w:w="55"/>
              <w:left w:type="dxa" w:w="90"/>
              <w:bottom w:type="dxa" w:w="55"/>
              <w:right w:type="dxa" w:w="90"/>
            </w:tcMar>
          </w:tcPr>
          <w:p>
            <w:pPr>
              <w:spacing w:line="250"/>
            </w:pPr>
            <w:r>
              <w:rPr>
                <w:rFonts w:ascii="Arial" w:cs="Arial" w:eastAsia="Arial" w:hAnsi="Arial"/>
                <w:b/>
                <w:bCs/>
                <w:color w:val="1E293B"/>
                <w:sz w:val="18"/>
                <w:szCs w:val="18"/>
              </w:rPr>
              <w:t xml:space="preserve">What it holds</w:t>
            </w:r>
          </w:p>
        </w:tc>
      </w:tr>
      <w:tr>
        <w:trPr>
          <w:cantSplit/>
        </w:trPr>
        <w:tc>
          <w:tcPr>
            <w:tcW w:type="dxa" w:w="370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app/extraction/</w:t>
            </w:r>
          </w:p>
        </w:tc>
        <w:tc>
          <w:tcPr>
            <w:tcW w:type="dxa" w:w="604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readers.py (reading modes), schema.py (what the model must return), llm.py (the model call)</w:t>
            </w:r>
          </w:p>
        </w:tc>
      </w:tr>
      <w:tr>
        <w:trPr>
          <w:cantSplit/>
        </w:trPr>
        <w:tc>
          <w:tcPr>
            <w:tcW w:type="dxa" w:w="370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app/normalize.py</w:t>
            </w:r>
          </w:p>
        </w:tc>
        <w:tc>
          <w:tcPr>
            <w:tcW w:type="dxa" w:w="604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Unit and currency conversion, checks, quality gate</w:t>
            </w:r>
          </w:p>
        </w:tc>
      </w:tr>
      <w:tr>
        <w:trPr>
          <w:cantSplit/>
        </w:trPr>
        <w:tc>
          <w:tcPr>
            <w:tcW w:type="dxa" w:w="370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app/analyst.py, app/copilot.py, app/clarify.py</w:t>
            </w:r>
          </w:p>
        </w:tc>
        <w:tc>
          <w:tcPr>
            <w:tcW w:type="dxa" w:w="604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The analyst agent and its tools; the RFx co-pilot; the clarification drafter</w:t>
            </w:r>
          </w:p>
        </w:tc>
      </w:tr>
      <w:tr>
        <w:trPr>
          <w:cantSplit/>
        </w:trPr>
        <w:tc>
          <w:tcPr>
            <w:tcW w:type="dxa" w:w="370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app/api.py, app/main.py, app/db.py</w:t>
            </w:r>
          </w:p>
        </w:tc>
        <w:tc>
          <w:tcPr>
            <w:tcW w:type="dxa" w:w="604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HTTP endpoints; server and password gate; SQLite storage</w:t>
            </w:r>
          </w:p>
        </w:tc>
      </w:tr>
      <w:tr>
        <w:trPr>
          <w:cantSplit/>
        </w:trPr>
        <w:tc>
          <w:tcPr>
            <w:tcW w:type="dxa" w:w="370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web/src/components/</w:t>
            </w:r>
          </w:p>
        </w:tc>
        <w:tc>
          <w:tcPr>
            <w:tcW w:type="dxa" w:w="604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One file per screen: Login, Dashboard, Copilot, Inbox, Comparison, CellDrawer, Analyst</w:t>
            </w:r>
          </w:p>
        </w:tc>
      </w:tr>
      <w:tr>
        <w:trPr>
          <w:cantSplit/>
        </w:trPr>
        <w:tc>
          <w:tcPr>
            <w:tcW w:type="dxa" w:w="370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scripts/, data/seed/</w:t>
            </w:r>
          </w:p>
        </w:tc>
        <w:tc>
          <w:tcPr>
            <w:tcW w:type="dxa" w:w="604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Dataset generator, extraction scorer, the vendor files and true answers</w:t>
            </w:r>
          </w:p>
        </w:tc>
      </w:tr>
      <w:tr>
        <w:trPr>
          <w:cantSplit/>
        </w:trPr>
        <w:tc>
          <w:tcPr>
            <w:tcW w:type="dxa" w:w="370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DECISIONS.md</w:t>
            </w:r>
          </w:p>
        </w:tc>
        <w:tc>
          <w:tcPr>
            <w:tcW w:type="dxa" w:w="6043"/>
            <w:tcBorders>
              <w:top w:val="single" w:color="CBD5E1" w:sz="4"/>
              <w:left w:val="single" w:color="CBD5E1" w:sz="4"/>
              <w:bottom w:val="single" w:color="CBD5E1" w:sz="4"/>
              <w:right w:val="single" w:color="CBD5E1" w:sz="4"/>
            </w:tcBorders>
            <w:tcMar>
              <w:top w:type="dxa" w:w="55"/>
              <w:left w:type="dxa" w:w="90"/>
              <w:bottom w:type="dxa" w:w="55"/>
              <w:right w:type="dxa" w:w="90"/>
            </w:tcMar>
          </w:tcPr>
          <w:p>
            <w:pPr>
              <w:spacing w:line="250"/>
            </w:pPr>
            <w:r>
              <w:rPr>
                <w:rFonts w:ascii="Arial" w:cs="Arial" w:eastAsia="Arial" w:hAnsi="Arial"/>
                <w:color w:val="1E293B"/>
                <w:sz w:val="18"/>
                <w:szCs w:val="18"/>
              </w:rPr>
              <w:t xml:space="preserve">The full decision log</w:t>
            </w:r>
          </w:p>
        </w:tc>
      </w:tr>
    </w:tbl>
    <w:sectPr>
      <w:footerReference w:type="default" r:id="rId6"/>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5"/>
        <w:szCs w:val="15"/>
      </w:rPr>
      <w:t xml:space="preserve">Quote Desk: how it is built  |  Page </w:t>
    </w:r>
    <w:r>
      <w:rPr>
        <w:rFonts w:ascii="Arial" w:cs="Arial" w:eastAsia="Arial" w:hAnsi="Arial"/>
        <w:color w:val="64748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Quote Desk: how it is built</dc:title>
  <dc:creator>Quote Desk</dc:creator>
  <cp:lastModifiedBy>Un-named</cp:lastModifiedBy>
  <cp:revision>1</cp:revision>
  <dcterms:created xsi:type="dcterms:W3CDTF">2026-10-10T11:45:15.784Z</dcterms:created>
  <dcterms:modified xsi:type="dcterms:W3CDTF">2026-10-10T11:45:15.784Z</dcterms:modified>
</cp:coreProperties>
</file>

<file path=docProps/custom.xml><?xml version="1.0" encoding="utf-8"?>
<Properties xmlns="http://schemas.openxmlformats.org/officeDocument/2006/custom-properties" xmlns:vt="http://schemas.openxmlformats.org/officeDocument/2006/docPropsVTypes"/>
</file>