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6198" w14:textId="620F29D8" w:rsidR="00A41B6A" w:rsidRDefault="00A96B5F" w:rsidP="00A96B5F">
      <w:pPr>
        <w:jc w:val="center"/>
        <w:rPr>
          <w:b/>
          <w:bCs/>
          <w:sz w:val="28"/>
          <w:szCs w:val="28"/>
        </w:rPr>
      </w:pPr>
      <w:r w:rsidRPr="00A96B5F">
        <w:rPr>
          <w:b/>
          <w:bCs/>
          <w:sz w:val="28"/>
          <w:szCs w:val="28"/>
        </w:rPr>
        <w:t>Phase 9: Reporting, Dashboards &amp; Security Review</w:t>
      </w:r>
    </w:p>
    <w:p w14:paraId="36C6A6FE" w14:textId="0B4CD471" w:rsidR="00A96B5F" w:rsidRDefault="00A96B5F" w:rsidP="00A96B5F">
      <w:pPr>
        <w:pStyle w:val="ListParagraph"/>
        <w:numPr>
          <w:ilvl w:val="0"/>
          <w:numId w:val="1"/>
        </w:numPr>
        <w:spacing w:line="360" w:lineRule="auto"/>
        <w:rPr>
          <w:b/>
          <w:bCs/>
          <w:sz w:val="24"/>
          <w:szCs w:val="24"/>
        </w:rPr>
      </w:pPr>
      <w:r w:rsidRPr="00A96B5F">
        <w:rPr>
          <w:b/>
          <w:bCs/>
          <w:sz w:val="24"/>
          <w:szCs w:val="24"/>
        </w:rPr>
        <w:t>Reports (Tabular, Summary, Matrix, Joined)</w:t>
      </w:r>
    </w:p>
    <w:p w14:paraId="4407133D" w14:textId="6E095A51" w:rsidR="00A96B5F" w:rsidRDefault="00A96B5F" w:rsidP="00A96B5F">
      <w:pPr>
        <w:pStyle w:val="ListParagraph"/>
        <w:spacing w:line="360" w:lineRule="auto"/>
        <w:rPr>
          <w:b/>
          <w:bCs/>
          <w:sz w:val="20"/>
          <w:szCs w:val="20"/>
          <w:u w:val="single"/>
        </w:rPr>
      </w:pPr>
      <w:r w:rsidRPr="00A96B5F">
        <w:rPr>
          <w:b/>
          <w:bCs/>
          <w:sz w:val="20"/>
          <w:szCs w:val="20"/>
          <w:u w:val="single"/>
        </w:rPr>
        <w:t>Salesforce provides 4 main report formats:</w:t>
      </w:r>
    </w:p>
    <w:p w14:paraId="3F6EED49" w14:textId="4462F813" w:rsidR="00A96B5F" w:rsidRDefault="00A96B5F" w:rsidP="00A96B5F">
      <w:pPr>
        <w:pStyle w:val="ListParagraph"/>
        <w:numPr>
          <w:ilvl w:val="0"/>
          <w:numId w:val="2"/>
        </w:numPr>
        <w:spacing w:line="360" w:lineRule="auto"/>
        <w:rPr>
          <w:sz w:val="20"/>
          <w:szCs w:val="20"/>
        </w:rPr>
      </w:pPr>
      <w:r w:rsidRPr="00A96B5F">
        <w:rPr>
          <w:b/>
          <w:bCs/>
          <w:sz w:val="20"/>
          <w:szCs w:val="20"/>
        </w:rPr>
        <w:t>Tabular Reports</w:t>
      </w:r>
      <w:r w:rsidRPr="00A96B5F">
        <w:rPr>
          <w:sz w:val="20"/>
          <w:szCs w:val="20"/>
        </w:rPr>
        <w:t xml:space="preserve"> → Simple list of records (like an Excel sheet). Best for tasks like mailing lists.</w:t>
      </w:r>
    </w:p>
    <w:p w14:paraId="17270D25" w14:textId="1643E74C" w:rsidR="00A96B5F" w:rsidRDefault="00A96B5F" w:rsidP="00A96B5F">
      <w:pPr>
        <w:pStyle w:val="ListParagraph"/>
        <w:numPr>
          <w:ilvl w:val="0"/>
          <w:numId w:val="2"/>
        </w:numPr>
        <w:spacing w:line="360" w:lineRule="auto"/>
        <w:rPr>
          <w:sz w:val="20"/>
          <w:szCs w:val="20"/>
        </w:rPr>
      </w:pPr>
      <w:r w:rsidRPr="00A96B5F">
        <w:rPr>
          <w:b/>
          <w:bCs/>
          <w:sz w:val="20"/>
          <w:szCs w:val="20"/>
        </w:rPr>
        <w:t>Summary Reports</w:t>
      </w:r>
      <w:r w:rsidRPr="00A96B5F">
        <w:rPr>
          <w:sz w:val="20"/>
          <w:szCs w:val="20"/>
        </w:rPr>
        <w:t xml:space="preserve"> → Grouped by rows with subtotals (e.g., sales by region).</w:t>
      </w:r>
    </w:p>
    <w:p w14:paraId="1D9D0274" w14:textId="2C1B2D32" w:rsidR="00A96B5F" w:rsidRDefault="00A96B5F" w:rsidP="00A96B5F">
      <w:pPr>
        <w:pStyle w:val="ListParagraph"/>
        <w:numPr>
          <w:ilvl w:val="0"/>
          <w:numId w:val="2"/>
        </w:numPr>
        <w:spacing w:line="360" w:lineRule="auto"/>
        <w:rPr>
          <w:sz w:val="20"/>
          <w:szCs w:val="20"/>
        </w:rPr>
      </w:pPr>
      <w:r w:rsidRPr="00A96B5F">
        <w:rPr>
          <w:b/>
          <w:bCs/>
          <w:sz w:val="20"/>
          <w:szCs w:val="20"/>
        </w:rPr>
        <w:t>Matrix Reports</w:t>
      </w:r>
      <w:r w:rsidRPr="00A96B5F">
        <w:rPr>
          <w:sz w:val="20"/>
          <w:szCs w:val="20"/>
        </w:rPr>
        <w:t xml:space="preserve"> → Grouped by rows and columns; best for comparing data in two dimensions (e.g., sales by product vs. region).</w:t>
      </w:r>
    </w:p>
    <w:p w14:paraId="52EB438F" w14:textId="4EACAF0F" w:rsidR="00A96B5F" w:rsidRPr="00A96B5F" w:rsidRDefault="00A96B5F" w:rsidP="00A96B5F">
      <w:pPr>
        <w:pStyle w:val="ListParagraph"/>
        <w:numPr>
          <w:ilvl w:val="0"/>
          <w:numId w:val="2"/>
        </w:numPr>
        <w:spacing w:line="360" w:lineRule="auto"/>
        <w:rPr>
          <w:sz w:val="20"/>
          <w:szCs w:val="20"/>
        </w:rPr>
      </w:pPr>
      <w:r w:rsidRPr="00A96B5F">
        <w:rPr>
          <w:b/>
          <w:bCs/>
          <w:sz w:val="20"/>
          <w:szCs w:val="20"/>
        </w:rPr>
        <w:t>Joined Reports</w:t>
      </w:r>
      <w:r w:rsidRPr="00A96B5F">
        <w:rPr>
          <w:sz w:val="20"/>
          <w:szCs w:val="20"/>
        </w:rPr>
        <w:t xml:space="preserve"> → Combine multiple report blocks with different objects into a single view. Useful for comparing related datasets.</w:t>
      </w:r>
    </w:p>
    <w:p w14:paraId="4D365AF8" w14:textId="5BC4EFE3" w:rsidR="00A96B5F" w:rsidRDefault="00A96B5F" w:rsidP="00A96B5F">
      <w:pPr>
        <w:pStyle w:val="ListParagraph"/>
        <w:numPr>
          <w:ilvl w:val="0"/>
          <w:numId w:val="1"/>
        </w:numPr>
        <w:spacing w:line="360" w:lineRule="auto"/>
        <w:rPr>
          <w:b/>
          <w:bCs/>
          <w:sz w:val="24"/>
          <w:szCs w:val="24"/>
        </w:rPr>
      </w:pPr>
      <w:r w:rsidRPr="00A96B5F">
        <w:rPr>
          <w:b/>
          <w:bCs/>
          <w:sz w:val="24"/>
          <w:szCs w:val="24"/>
        </w:rPr>
        <w:t>Report Types</w:t>
      </w:r>
    </w:p>
    <w:p w14:paraId="70275957" w14:textId="013153EB" w:rsidR="00A96B5F" w:rsidRDefault="00A96B5F" w:rsidP="00A96B5F">
      <w:pPr>
        <w:pStyle w:val="ListParagraph"/>
        <w:spacing w:line="360" w:lineRule="auto"/>
        <w:rPr>
          <w:sz w:val="20"/>
          <w:szCs w:val="20"/>
        </w:rPr>
      </w:pPr>
      <w:r w:rsidRPr="00A96B5F">
        <w:rPr>
          <w:b/>
          <w:bCs/>
          <w:sz w:val="20"/>
          <w:szCs w:val="20"/>
        </w:rPr>
        <w:t>Report Types</w:t>
      </w:r>
      <w:r w:rsidRPr="00A96B5F">
        <w:rPr>
          <w:sz w:val="20"/>
          <w:szCs w:val="20"/>
        </w:rPr>
        <w:t xml:space="preserve"> define the set of objects and fields available for reporting.</w:t>
      </w:r>
    </w:p>
    <w:p w14:paraId="75929DED" w14:textId="5DF7AB3B" w:rsidR="00A96B5F" w:rsidRDefault="00A96B5F" w:rsidP="00A96B5F">
      <w:pPr>
        <w:pStyle w:val="ListParagraph"/>
        <w:numPr>
          <w:ilvl w:val="0"/>
          <w:numId w:val="3"/>
        </w:numPr>
        <w:spacing w:line="360" w:lineRule="auto"/>
        <w:rPr>
          <w:sz w:val="20"/>
          <w:szCs w:val="20"/>
        </w:rPr>
      </w:pPr>
      <w:r w:rsidRPr="00A96B5F">
        <w:rPr>
          <w:b/>
          <w:bCs/>
          <w:sz w:val="20"/>
          <w:szCs w:val="20"/>
        </w:rPr>
        <w:t>Standard Report Types</w:t>
      </w:r>
      <w:r w:rsidRPr="00A96B5F">
        <w:rPr>
          <w:sz w:val="20"/>
          <w:szCs w:val="20"/>
        </w:rPr>
        <w:t xml:space="preserve"> → Auto-created by Salesforce for common relationships (e.g., Accounts with Contacts).</w:t>
      </w:r>
    </w:p>
    <w:p w14:paraId="4D73E5FA" w14:textId="36E95C3D" w:rsidR="00A96B5F" w:rsidRPr="00A96B5F" w:rsidRDefault="00A96B5F" w:rsidP="00A96B5F">
      <w:pPr>
        <w:pStyle w:val="ListParagraph"/>
        <w:numPr>
          <w:ilvl w:val="0"/>
          <w:numId w:val="3"/>
        </w:numPr>
        <w:spacing w:line="360" w:lineRule="auto"/>
        <w:rPr>
          <w:sz w:val="20"/>
          <w:szCs w:val="20"/>
        </w:rPr>
      </w:pPr>
      <w:r w:rsidRPr="00A96B5F">
        <w:rPr>
          <w:b/>
          <w:bCs/>
          <w:sz w:val="20"/>
          <w:szCs w:val="20"/>
        </w:rPr>
        <w:t>Custom Report Types</w:t>
      </w:r>
      <w:r w:rsidRPr="00A96B5F">
        <w:rPr>
          <w:sz w:val="20"/>
          <w:szCs w:val="20"/>
        </w:rPr>
        <w:t xml:space="preserve"> → Created by admins for specific reporting needs, including custom objects and complex relationships.</w:t>
      </w:r>
    </w:p>
    <w:p w14:paraId="6216382F" w14:textId="178577D3" w:rsidR="00A96B5F" w:rsidRDefault="00A96B5F" w:rsidP="00A96B5F">
      <w:pPr>
        <w:pStyle w:val="ListParagraph"/>
        <w:numPr>
          <w:ilvl w:val="0"/>
          <w:numId w:val="1"/>
        </w:numPr>
        <w:spacing w:line="360" w:lineRule="auto"/>
        <w:rPr>
          <w:b/>
          <w:bCs/>
          <w:sz w:val="24"/>
          <w:szCs w:val="24"/>
        </w:rPr>
      </w:pPr>
      <w:r w:rsidRPr="00A96B5F">
        <w:rPr>
          <w:b/>
          <w:bCs/>
          <w:sz w:val="24"/>
          <w:szCs w:val="24"/>
        </w:rPr>
        <w:t>Dashboards</w:t>
      </w:r>
    </w:p>
    <w:p w14:paraId="2667121C" w14:textId="5D045B23" w:rsidR="00A96B5F" w:rsidRPr="00A96B5F" w:rsidRDefault="00A96B5F" w:rsidP="00A96B5F">
      <w:pPr>
        <w:pStyle w:val="ListParagraph"/>
        <w:spacing w:line="360" w:lineRule="auto"/>
        <w:rPr>
          <w:sz w:val="20"/>
          <w:szCs w:val="20"/>
        </w:rPr>
      </w:pPr>
      <w:r w:rsidRPr="00A96B5F">
        <w:rPr>
          <w:b/>
          <w:bCs/>
          <w:sz w:val="20"/>
          <w:szCs w:val="20"/>
        </w:rPr>
        <w:t>Dashboards</w:t>
      </w:r>
      <w:r w:rsidRPr="00A96B5F">
        <w:rPr>
          <w:sz w:val="20"/>
          <w:szCs w:val="20"/>
        </w:rPr>
        <w:t xml:space="preserve"> are visual representations of report data. They consist of components like charts, tables, gauges, or metrics. Dashboards give management quick insights into KPIs (e.g., total revenue, bookings, or charging station usage).</w:t>
      </w:r>
    </w:p>
    <w:p w14:paraId="2085EB61" w14:textId="7C917DD7" w:rsidR="00A96B5F" w:rsidRDefault="00A96B5F" w:rsidP="00A96B5F">
      <w:pPr>
        <w:pStyle w:val="ListParagraph"/>
        <w:numPr>
          <w:ilvl w:val="0"/>
          <w:numId w:val="1"/>
        </w:numPr>
        <w:spacing w:line="360" w:lineRule="auto"/>
        <w:rPr>
          <w:b/>
          <w:bCs/>
          <w:sz w:val="24"/>
          <w:szCs w:val="24"/>
        </w:rPr>
      </w:pPr>
      <w:r w:rsidRPr="00A96B5F">
        <w:rPr>
          <w:b/>
          <w:bCs/>
          <w:sz w:val="24"/>
          <w:szCs w:val="24"/>
        </w:rPr>
        <w:t>Dynamic Dashboards</w:t>
      </w:r>
    </w:p>
    <w:p w14:paraId="0425DA2A" w14:textId="65BC7D8D" w:rsidR="00A96B5F" w:rsidRPr="00A96B5F" w:rsidRDefault="00A96B5F" w:rsidP="00A96B5F">
      <w:pPr>
        <w:pStyle w:val="ListParagraph"/>
        <w:spacing w:line="360" w:lineRule="auto"/>
        <w:rPr>
          <w:sz w:val="20"/>
          <w:szCs w:val="20"/>
        </w:rPr>
      </w:pPr>
      <w:r w:rsidRPr="00A96B5F">
        <w:rPr>
          <w:b/>
          <w:bCs/>
          <w:sz w:val="20"/>
          <w:szCs w:val="20"/>
        </w:rPr>
        <w:t>Dynamic Dashboards</w:t>
      </w:r>
      <w:r w:rsidRPr="00A96B5F">
        <w:rPr>
          <w:sz w:val="20"/>
          <w:szCs w:val="20"/>
        </w:rPr>
        <w:t xml:space="preserve"> allow users to see data based on their own security settings rather than the dashboard creator’s. For example, a </w:t>
      </w:r>
      <w:proofErr w:type="gramStart"/>
      <w:r w:rsidRPr="00A96B5F">
        <w:rPr>
          <w:sz w:val="20"/>
          <w:szCs w:val="20"/>
        </w:rPr>
        <w:t>Sales</w:t>
      </w:r>
      <w:proofErr w:type="gramEnd"/>
      <w:r w:rsidRPr="00A96B5F">
        <w:rPr>
          <w:sz w:val="20"/>
          <w:szCs w:val="20"/>
        </w:rPr>
        <w:t xml:space="preserve"> Manager sees only their team’s data, while an Operator sees only their assigned stations. This avoids creating multiple dashboards for different roles.</w:t>
      </w:r>
    </w:p>
    <w:p w14:paraId="1860D94F" w14:textId="595E3E81" w:rsidR="00A96B5F" w:rsidRDefault="00A96B5F" w:rsidP="00A96B5F">
      <w:pPr>
        <w:pStyle w:val="ListParagraph"/>
        <w:numPr>
          <w:ilvl w:val="0"/>
          <w:numId w:val="1"/>
        </w:numPr>
        <w:spacing w:line="360" w:lineRule="auto"/>
        <w:rPr>
          <w:b/>
          <w:bCs/>
          <w:sz w:val="24"/>
          <w:szCs w:val="24"/>
        </w:rPr>
      </w:pPr>
      <w:r w:rsidRPr="00A96B5F">
        <w:rPr>
          <w:b/>
          <w:bCs/>
          <w:sz w:val="24"/>
          <w:szCs w:val="24"/>
        </w:rPr>
        <w:t>Sharing Settings</w:t>
      </w:r>
    </w:p>
    <w:p w14:paraId="6A06DDEE" w14:textId="1FCDC535" w:rsidR="00A96B5F" w:rsidRPr="00A96B5F" w:rsidRDefault="00A96B5F" w:rsidP="00A96B5F">
      <w:pPr>
        <w:pStyle w:val="ListParagraph"/>
        <w:spacing w:line="360" w:lineRule="auto"/>
        <w:rPr>
          <w:sz w:val="20"/>
          <w:szCs w:val="20"/>
        </w:rPr>
      </w:pPr>
      <w:r w:rsidRPr="00A96B5F">
        <w:rPr>
          <w:b/>
          <w:bCs/>
          <w:sz w:val="20"/>
          <w:szCs w:val="20"/>
        </w:rPr>
        <w:t>Sharing Settings</w:t>
      </w:r>
      <w:r w:rsidRPr="00A96B5F">
        <w:rPr>
          <w:sz w:val="20"/>
          <w:szCs w:val="20"/>
        </w:rPr>
        <w:t xml:space="preserve"> define the default access (Organization-Wide Defaults) and record-level visibility. Admins can configure sharing rules for roles, groups, or territories. Sharing ensures that sensitive data is accessible only to authorized users.</w:t>
      </w:r>
    </w:p>
    <w:p w14:paraId="4400DDEB" w14:textId="3AEB5D36" w:rsidR="00A96B5F" w:rsidRDefault="00A96B5F" w:rsidP="00A96B5F">
      <w:pPr>
        <w:pStyle w:val="ListParagraph"/>
        <w:numPr>
          <w:ilvl w:val="0"/>
          <w:numId w:val="1"/>
        </w:numPr>
        <w:spacing w:line="360" w:lineRule="auto"/>
        <w:rPr>
          <w:b/>
          <w:bCs/>
          <w:sz w:val="24"/>
          <w:szCs w:val="24"/>
        </w:rPr>
      </w:pPr>
      <w:r w:rsidRPr="00A96B5F">
        <w:rPr>
          <w:b/>
          <w:bCs/>
          <w:sz w:val="24"/>
          <w:szCs w:val="24"/>
        </w:rPr>
        <w:t>Field Level Security (FLS)</w:t>
      </w:r>
    </w:p>
    <w:p w14:paraId="7DC301D2" w14:textId="46970214" w:rsidR="00A96B5F" w:rsidRPr="00A96B5F" w:rsidRDefault="00A96B5F" w:rsidP="00A96B5F">
      <w:pPr>
        <w:pStyle w:val="ListParagraph"/>
        <w:spacing w:line="360" w:lineRule="auto"/>
        <w:rPr>
          <w:sz w:val="20"/>
          <w:szCs w:val="20"/>
        </w:rPr>
      </w:pPr>
      <w:r w:rsidRPr="00A96B5F">
        <w:rPr>
          <w:b/>
          <w:bCs/>
          <w:sz w:val="20"/>
          <w:szCs w:val="20"/>
        </w:rPr>
        <w:t>Field-Level Security</w:t>
      </w:r>
      <w:r w:rsidRPr="00A96B5F">
        <w:rPr>
          <w:sz w:val="20"/>
          <w:szCs w:val="20"/>
        </w:rPr>
        <w:t xml:space="preserve"> controls access to individual fields on objects. Admins can make fields </w:t>
      </w:r>
      <w:r w:rsidRPr="00A96B5F">
        <w:rPr>
          <w:b/>
          <w:bCs/>
          <w:sz w:val="20"/>
          <w:szCs w:val="20"/>
        </w:rPr>
        <w:t>read-only</w:t>
      </w:r>
      <w:r w:rsidRPr="00A96B5F">
        <w:rPr>
          <w:sz w:val="20"/>
          <w:szCs w:val="20"/>
        </w:rPr>
        <w:t xml:space="preserve">, </w:t>
      </w:r>
      <w:r w:rsidRPr="00A96B5F">
        <w:rPr>
          <w:b/>
          <w:bCs/>
          <w:sz w:val="20"/>
          <w:szCs w:val="20"/>
        </w:rPr>
        <w:t>hidden</w:t>
      </w:r>
      <w:r w:rsidRPr="00A96B5F">
        <w:rPr>
          <w:sz w:val="20"/>
          <w:szCs w:val="20"/>
        </w:rPr>
        <w:t xml:space="preserve">, or </w:t>
      </w:r>
      <w:r w:rsidRPr="00A96B5F">
        <w:rPr>
          <w:b/>
          <w:bCs/>
          <w:sz w:val="20"/>
          <w:szCs w:val="20"/>
        </w:rPr>
        <w:t>editable</w:t>
      </w:r>
      <w:r w:rsidRPr="00A96B5F">
        <w:rPr>
          <w:sz w:val="20"/>
          <w:szCs w:val="20"/>
        </w:rPr>
        <w:t xml:space="preserve"> based on profiles/permission sets. This prevents exposure of sensitive information like payment details or customer PII.</w:t>
      </w:r>
    </w:p>
    <w:p w14:paraId="06FC0F24" w14:textId="2D339AFD" w:rsidR="00A96B5F" w:rsidRDefault="00A96B5F" w:rsidP="00A96B5F">
      <w:pPr>
        <w:pStyle w:val="ListParagraph"/>
        <w:numPr>
          <w:ilvl w:val="0"/>
          <w:numId w:val="1"/>
        </w:numPr>
        <w:spacing w:line="360" w:lineRule="auto"/>
        <w:rPr>
          <w:b/>
          <w:bCs/>
          <w:sz w:val="24"/>
          <w:szCs w:val="24"/>
        </w:rPr>
      </w:pPr>
      <w:r w:rsidRPr="00A96B5F">
        <w:rPr>
          <w:b/>
          <w:bCs/>
          <w:sz w:val="24"/>
          <w:szCs w:val="24"/>
        </w:rPr>
        <w:t>Session Settings</w:t>
      </w:r>
    </w:p>
    <w:p w14:paraId="4027649B" w14:textId="4889B0A9" w:rsidR="00A96B5F" w:rsidRPr="00A96B5F" w:rsidRDefault="00A96B5F" w:rsidP="00A96B5F">
      <w:pPr>
        <w:pStyle w:val="ListParagraph"/>
        <w:spacing w:line="360" w:lineRule="auto"/>
        <w:rPr>
          <w:sz w:val="20"/>
          <w:szCs w:val="20"/>
        </w:rPr>
      </w:pPr>
      <w:r w:rsidRPr="00A96B5F">
        <w:rPr>
          <w:b/>
          <w:bCs/>
          <w:sz w:val="20"/>
          <w:szCs w:val="20"/>
        </w:rPr>
        <w:t>Session Settings</w:t>
      </w:r>
      <w:r w:rsidRPr="00A96B5F">
        <w:rPr>
          <w:sz w:val="20"/>
          <w:szCs w:val="20"/>
        </w:rPr>
        <w:t xml:space="preserve"> define how long a user session remains active before auto-logout, multi-factor authentication requirements, and session timeout warnings. Proper settings enhance security while balancing usability.</w:t>
      </w:r>
      <w:r w:rsidR="00CB4B9F">
        <w:rPr>
          <w:sz w:val="20"/>
          <w:szCs w:val="20"/>
        </w:rPr>
        <w:tab/>
      </w:r>
    </w:p>
    <w:p w14:paraId="692E2025" w14:textId="07D7D7F5" w:rsidR="00A96B5F" w:rsidRDefault="00A96B5F" w:rsidP="00A96B5F">
      <w:pPr>
        <w:pStyle w:val="ListParagraph"/>
        <w:numPr>
          <w:ilvl w:val="0"/>
          <w:numId w:val="1"/>
        </w:numPr>
        <w:spacing w:line="360" w:lineRule="auto"/>
        <w:rPr>
          <w:b/>
          <w:bCs/>
          <w:sz w:val="24"/>
          <w:szCs w:val="24"/>
        </w:rPr>
      </w:pPr>
      <w:r w:rsidRPr="00A96B5F">
        <w:rPr>
          <w:b/>
          <w:bCs/>
          <w:sz w:val="24"/>
          <w:szCs w:val="24"/>
        </w:rPr>
        <w:t>Login IP Ranges</w:t>
      </w:r>
    </w:p>
    <w:p w14:paraId="24F269A0" w14:textId="019A4DFF" w:rsidR="00A96B5F" w:rsidRPr="00A96B5F" w:rsidRDefault="00A96B5F" w:rsidP="00A96B5F">
      <w:pPr>
        <w:pStyle w:val="ListParagraph"/>
        <w:spacing w:line="360" w:lineRule="auto"/>
        <w:rPr>
          <w:sz w:val="20"/>
          <w:szCs w:val="20"/>
        </w:rPr>
      </w:pPr>
      <w:r w:rsidRPr="00A96B5F">
        <w:rPr>
          <w:sz w:val="20"/>
          <w:szCs w:val="20"/>
        </w:rPr>
        <w:lastRenderedPageBreak/>
        <w:t>Admins can restrict logins to specific IP ranges to enhance security. For example, internal users may only log in from corporate office IP addresses. This prevents unauthorized access from unknown networks.</w:t>
      </w:r>
    </w:p>
    <w:p w14:paraId="1CE16EEA" w14:textId="669AF08A" w:rsidR="00A96B5F" w:rsidRDefault="00A96B5F" w:rsidP="00A96B5F">
      <w:pPr>
        <w:pStyle w:val="ListParagraph"/>
        <w:numPr>
          <w:ilvl w:val="0"/>
          <w:numId w:val="1"/>
        </w:numPr>
        <w:spacing w:line="360" w:lineRule="auto"/>
        <w:rPr>
          <w:b/>
          <w:bCs/>
          <w:sz w:val="24"/>
          <w:szCs w:val="24"/>
        </w:rPr>
      </w:pPr>
      <w:r w:rsidRPr="00A96B5F">
        <w:rPr>
          <w:b/>
          <w:bCs/>
          <w:sz w:val="24"/>
          <w:szCs w:val="24"/>
        </w:rPr>
        <w:t>Audit Trail</w:t>
      </w:r>
    </w:p>
    <w:p w14:paraId="6B8D68C5" w14:textId="3F7E9AD2" w:rsidR="00A96B5F" w:rsidRPr="00A96B5F" w:rsidRDefault="00A96B5F" w:rsidP="00A96B5F">
      <w:pPr>
        <w:pStyle w:val="ListParagraph"/>
        <w:spacing w:line="360" w:lineRule="auto"/>
        <w:rPr>
          <w:sz w:val="20"/>
          <w:szCs w:val="20"/>
        </w:rPr>
      </w:pPr>
      <w:r w:rsidRPr="00A96B5F">
        <w:rPr>
          <w:sz w:val="20"/>
          <w:szCs w:val="20"/>
        </w:rPr>
        <w:t xml:space="preserve">The </w:t>
      </w:r>
      <w:r w:rsidRPr="00A96B5F">
        <w:rPr>
          <w:b/>
          <w:bCs/>
          <w:sz w:val="20"/>
          <w:szCs w:val="20"/>
        </w:rPr>
        <w:t>Setup Audit Trail</w:t>
      </w:r>
      <w:r w:rsidRPr="00A96B5F">
        <w:rPr>
          <w:sz w:val="20"/>
          <w:szCs w:val="20"/>
        </w:rPr>
        <w:t xml:space="preserve"> tracks configuration changes in Salesforce. It logs who made changes, what was changed, and when. This helps in compliance, troubleshooting, and monitoring unauthorized modifications.</w:t>
      </w:r>
    </w:p>
    <w:sectPr w:rsidR="00A96B5F" w:rsidRPr="00A96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06F77"/>
    <w:multiLevelType w:val="hybridMultilevel"/>
    <w:tmpl w:val="E3D631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47E211B"/>
    <w:multiLevelType w:val="hybridMultilevel"/>
    <w:tmpl w:val="9E9A2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6FD1696"/>
    <w:multiLevelType w:val="hybridMultilevel"/>
    <w:tmpl w:val="3F8C4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259676">
    <w:abstractNumId w:val="2"/>
  </w:num>
  <w:num w:numId="2" w16cid:durableId="535587041">
    <w:abstractNumId w:val="1"/>
  </w:num>
  <w:num w:numId="3" w16cid:durableId="58441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5F"/>
    <w:rsid w:val="001B5855"/>
    <w:rsid w:val="004E7CC4"/>
    <w:rsid w:val="00A41B6A"/>
    <w:rsid w:val="00A96B5F"/>
    <w:rsid w:val="00CB4B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6E93"/>
  <w15:chartTrackingRefBased/>
  <w15:docId w15:val="{D8603B2B-6D8A-4172-8EEB-F0080D9F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B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B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B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B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B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B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B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B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B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B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B5F"/>
    <w:rPr>
      <w:rFonts w:eastAsiaTheme="majorEastAsia" w:cstheme="majorBidi"/>
      <w:color w:val="272727" w:themeColor="text1" w:themeTint="D8"/>
    </w:rPr>
  </w:style>
  <w:style w:type="paragraph" w:styleId="Title">
    <w:name w:val="Title"/>
    <w:basedOn w:val="Normal"/>
    <w:next w:val="Normal"/>
    <w:link w:val="TitleChar"/>
    <w:uiPriority w:val="10"/>
    <w:qFormat/>
    <w:rsid w:val="00A96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B5F"/>
    <w:pPr>
      <w:spacing w:before="160"/>
      <w:jc w:val="center"/>
    </w:pPr>
    <w:rPr>
      <w:i/>
      <w:iCs/>
      <w:color w:val="404040" w:themeColor="text1" w:themeTint="BF"/>
    </w:rPr>
  </w:style>
  <w:style w:type="character" w:customStyle="1" w:styleId="QuoteChar">
    <w:name w:val="Quote Char"/>
    <w:basedOn w:val="DefaultParagraphFont"/>
    <w:link w:val="Quote"/>
    <w:uiPriority w:val="29"/>
    <w:rsid w:val="00A96B5F"/>
    <w:rPr>
      <w:i/>
      <w:iCs/>
      <w:color w:val="404040" w:themeColor="text1" w:themeTint="BF"/>
    </w:rPr>
  </w:style>
  <w:style w:type="paragraph" w:styleId="ListParagraph">
    <w:name w:val="List Paragraph"/>
    <w:basedOn w:val="Normal"/>
    <w:uiPriority w:val="34"/>
    <w:qFormat/>
    <w:rsid w:val="00A96B5F"/>
    <w:pPr>
      <w:ind w:left="720"/>
      <w:contextualSpacing/>
    </w:pPr>
  </w:style>
  <w:style w:type="character" w:styleId="IntenseEmphasis">
    <w:name w:val="Intense Emphasis"/>
    <w:basedOn w:val="DefaultParagraphFont"/>
    <w:uiPriority w:val="21"/>
    <w:qFormat/>
    <w:rsid w:val="00A96B5F"/>
    <w:rPr>
      <w:i/>
      <w:iCs/>
      <w:color w:val="2F5496" w:themeColor="accent1" w:themeShade="BF"/>
    </w:rPr>
  </w:style>
  <w:style w:type="paragraph" w:styleId="IntenseQuote">
    <w:name w:val="Intense Quote"/>
    <w:basedOn w:val="Normal"/>
    <w:next w:val="Normal"/>
    <w:link w:val="IntenseQuoteChar"/>
    <w:uiPriority w:val="30"/>
    <w:qFormat/>
    <w:rsid w:val="00A96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B5F"/>
    <w:rPr>
      <w:i/>
      <w:iCs/>
      <w:color w:val="2F5496" w:themeColor="accent1" w:themeShade="BF"/>
    </w:rPr>
  </w:style>
  <w:style w:type="character" w:styleId="IntenseReference">
    <w:name w:val="Intense Reference"/>
    <w:basedOn w:val="DefaultParagraphFont"/>
    <w:uiPriority w:val="32"/>
    <w:qFormat/>
    <w:rsid w:val="00A96B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22A31A43G6</dc:creator>
  <cp:keywords/>
  <dc:description/>
  <cp:lastModifiedBy>Pavan Kumar 22A31A43G6</cp:lastModifiedBy>
  <cp:revision>2</cp:revision>
  <dcterms:created xsi:type="dcterms:W3CDTF">2025-09-23T12:17:00Z</dcterms:created>
  <dcterms:modified xsi:type="dcterms:W3CDTF">2025-09-23T12:23:00Z</dcterms:modified>
</cp:coreProperties>
</file>