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pPr>
      <w:r>
        <w:rPr>
          <w:rFonts w:ascii="Aptos" w:hAnsi="Aptos"/>
          <w:b/>
          <w:i w:val="0"/>
          <w:sz w:val="22"/>
        </w:rPr>
        <w:t>ASSIGNMENT 4 - UNIT IV</w:t>
      </w:r>
    </w:p>
    <w:p>
      <w:pPr>
        <w:spacing w:after="100"/>
      </w:pPr>
      <w:r>
        <w:rPr>
          <w:rFonts w:ascii="Aptos" w:hAnsi="Aptos"/>
          <w:b/>
          <w:i w:val="0"/>
          <w:sz w:val="24"/>
        </w:rPr>
        <w:t>MINI PROJECT</w:t>
      </w:r>
    </w:p>
    <w:p>
      <w:pPr>
        <w:spacing w:after="100"/>
      </w:pPr>
      <w:r>
        <w:rPr>
          <w:rFonts w:ascii="Aptos" w:hAnsi="Aptos"/>
          <w:b/>
          <w:i w:val="0"/>
          <w:sz w:val="44"/>
        </w:rPr>
        <w:t>STUDENT PERFORMANCE ANALYSIS</w:t>
      </w:r>
    </w:p>
    <w:p>
      <w:pPr>
        <w:spacing w:after="100"/>
      </w:pPr>
      <w:r>
        <w:rPr>
          <w:rFonts w:ascii="Aptos" w:hAnsi="Aptos"/>
          <w:b w:val="0"/>
          <w:i/>
          <w:sz w:val="22"/>
        </w:rPr>
        <w:t>Correlation Analysis, Visualization, Regression and Hypothesis Testing</w:t>
      </w:r>
    </w:p>
    <w:p>
      <w:pPr>
        <w:spacing w:after="100"/>
      </w:pPr>
      <w:r>
        <w:rPr>
          <w:rFonts w:ascii="Aptos" w:hAnsi="Aptos"/>
          <w:b w:val="0"/>
          <w:i w:val="0"/>
          <w:sz w:val="20"/>
        </w:rPr>
        <w:t>Submitted for academic evaluation</w:t>
      </w:r>
    </w:p>
    <w:tbl>
      <w:tblPr>
        <w:tblStyle w:val="TableGrid"/>
        <w:tblW w:type="auto" w:w="0"/>
        <w:jc w:val="left"/>
        <w:tblLayout w:type="fixed"/>
        <w:tblLook w:firstColumn="1" w:firstRow="1" w:lastColumn="0" w:lastRow="0" w:noHBand="0" w:noVBand="1" w:val="04A0"/>
      </w:tblPr>
      <w:tblGrid>
        <w:gridCol w:w="5040"/>
        <w:gridCol w:w="5040"/>
      </w:tblGrid>
      <w:tr>
        <w:tc>
          <w:tcPr>
            <w:tcW w:type="dxa" w:w="3024"/>
            <w:shd w:fill="D9EAF7"/>
          </w:tcPr>
          <w:p>
            <w:r/>
            <w:r>
              <w:rPr>
                <w:rFonts w:ascii="Aptos" w:hAnsi="Aptos"/>
                <w:b/>
                <w:sz w:val="16"/>
              </w:rPr>
              <w:t>Project Details</w:t>
            </w:r>
          </w:p>
        </w:tc>
        <w:tc>
          <w:tcPr>
            <w:tcW w:type="dxa" w:w="6624"/>
            <w:shd w:fill="D9EAF7"/>
          </w:tcPr>
          <w:p>
            <w:r/>
            <w:r>
              <w:rPr>
                <w:rFonts w:ascii="Aptos" w:hAnsi="Aptos"/>
                <w:b/>
                <w:sz w:val="16"/>
              </w:rPr>
              <w:t>Information</w:t>
            </w:r>
          </w:p>
        </w:tc>
      </w:tr>
      <w:tr>
        <w:tc>
          <w:tcPr>
            <w:tcW w:type="dxa" w:w="3024"/>
          </w:tcPr>
          <w:p>
            <w:r/>
            <w:r>
              <w:rPr>
                <w:rFonts w:ascii="Aptos" w:hAnsi="Aptos"/>
                <w:b w:val="0"/>
                <w:sz w:val="16"/>
              </w:rPr>
              <w:t>Student Name</w:t>
            </w:r>
          </w:p>
        </w:tc>
        <w:tc>
          <w:tcPr>
            <w:tcW w:type="dxa" w:w="6624"/>
          </w:tcPr>
          <w:p>
            <w:r/>
            <w:r>
              <w:rPr>
                <w:rFonts w:ascii="Aptos" w:hAnsi="Aptos"/>
                <w:b w:val="0"/>
                <w:sz w:val="16"/>
              </w:rPr>
              <w:t>____________________________</w:t>
            </w:r>
          </w:p>
        </w:tc>
      </w:tr>
      <w:tr>
        <w:tc>
          <w:tcPr>
            <w:tcW w:type="dxa" w:w="3024"/>
          </w:tcPr>
          <w:p>
            <w:r/>
            <w:r>
              <w:rPr>
                <w:rFonts w:ascii="Aptos" w:hAnsi="Aptos"/>
                <w:b w:val="0"/>
                <w:sz w:val="16"/>
              </w:rPr>
              <w:t>Register Number</w:t>
            </w:r>
          </w:p>
        </w:tc>
        <w:tc>
          <w:tcPr>
            <w:tcW w:type="dxa" w:w="6624"/>
          </w:tcPr>
          <w:p>
            <w:r/>
            <w:r>
              <w:rPr>
                <w:rFonts w:ascii="Aptos" w:hAnsi="Aptos"/>
                <w:b w:val="0"/>
                <w:sz w:val="16"/>
              </w:rPr>
              <w:t>____________________________</w:t>
            </w:r>
          </w:p>
        </w:tc>
      </w:tr>
      <w:tr>
        <w:tc>
          <w:tcPr>
            <w:tcW w:type="dxa" w:w="3024"/>
          </w:tcPr>
          <w:p>
            <w:r/>
            <w:r>
              <w:rPr>
                <w:rFonts w:ascii="Aptos" w:hAnsi="Aptos"/>
                <w:b w:val="0"/>
                <w:sz w:val="16"/>
              </w:rPr>
              <w:t>Department / Class</w:t>
            </w:r>
          </w:p>
        </w:tc>
        <w:tc>
          <w:tcPr>
            <w:tcW w:type="dxa" w:w="6624"/>
          </w:tcPr>
          <w:p>
            <w:r/>
            <w:r>
              <w:rPr>
                <w:rFonts w:ascii="Aptos" w:hAnsi="Aptos"/>
                <w:b w:val="0"/>
                <w:sz w:val="16"/>
              </w:rPr>
              <w:t>____________________________</w:t>
            </w:r>
          </w:p>
        </w:tc>
      </w:tr>
      <w:tr>
        <w:tc>
          <w:tcPr>
            <w:tcW w:type="dxa" w:w="3024"/>
          </w:tcPr>
          <w:p>
            <w:r/>
            <w:r>
              <w:rPr>
                <w:rFonts w:ascii="Aptos" w:hAnsi="Aptos"/>
                <w:b w:val="0"/>
                <w:sz w:val="16"/>
              </w:rPr>
              <w:t>Academic Year</w:t>
            </w:r>
          </w:p>
        </w:tc>
        <w:tc>
          <w:tcPr>
            <w:tcW w:type="dxa" w:w="6624"/>
          </w:tcPr>
          <w:p>
            <w:r/>
            <w:r>
              <w:rPr>
                <w:rFonts w:ascii="Aptos" w:hAnsi="Aptos"/>
                <w:b w:val="0"/>
                <w:sz w:val="16"/>
              </w:rPr>
              <w:t>2026-2027</w:t>
            </w:r>
          </w:p>
        </w:tc>
      </w:tr>
      <w:tr>
        <w:tc>
          <w:tcPr>
            <w:tcW w:type="dxa" w:w="3024"/>
          </w:tcPr>
          <w:p>
            <w:r/>
            <w:r>
              <w:rPr>
                <w:rFonts w:ascii="Aptos" w:hAnsi="Aptos"/>
                <w:b w:val="0"/>
                <w:sz w:val="16"/>
              </w:rPr>
              <w:t>Date</w:t>
            </w:r>
          </w:p>
        </w:tc>
        <w:tc>
          <w:tcPr>
            <w:tcW w:type="dxa" w:w="6624"/>
          </w:tcPr>
          <w:p>
            <w:r/>
            <w:r>
              <w:rPr>
                <w:rFonts w:ascii="Aptos" w:hAnsi="Aptos"/>
                <w:b w:val="0"/>
                <w:sz w:val="16"/>
              </w:rPr>
              <w:t>01 September 2026</w:t>
            </w:r>
          </w:p>
        </w:tc>
      </w:tr>
    </w:tbl>
    <w:p>
      <w:pPr>
        <w:pStyle w:val="Heading1"/>
        <w:spacing w:before="180" w:after="60"/>
      </w:pPr>
      <w:r>
        <w:rPr>
          <w:rFonts w:ascii="Aptos" w:hAnsi="Aptos"/>
          <w:b/>
          <w:sz w:val="26"/>
        </w:rPr>
        <w:t>Abstract</w:t>
      </w:r>
    </w:p>
    <w:p>
      <w:pPr>
        <w:spacing w:after="100"/>
      </w:pPr>
      <w:r>
        <w:rPr>
          <w:rFonts w:ascii="Aptos" w:hAnsi="Aptos"/>
          <w:b w:val="0"/>
          <w:i w:val="0"/>
          <w:sz w:val="20"/>
        </w:rPr>
        <w:t>This mini-project investigates factors associated with student final examination performance using an illustrative academic dataset of 60 student records. The variables include weekly study hours, attendance, previous examination score, sleep duration and final score. The aim is to demonstrate an end-to-end statistical workflow rather than make causal claims about any individual student.</w:t>
      </w:r>
    </w:p>
    <w:p>
      <w:pPr>
        <w:spacing w:after="100"/>
      </w:pPr>
      <w:r>
        <w:rPr>
          <w:rFonts w:ascii="Aptos" w:hAnsi="Aptos"/>
          <w:b w:val="0"/>
          <w:i w:val="0"/>
          <w:sz w:val="20"/>
        </w:rPr>
        <w:t>The analysis finds that study hours have the strongest positive relationship with final score (r = 0.68), followed by attendance (r = 0.58) and previous score (r = 0.47). A simple regression using study hours explains approximately 46% of variation in final score. A Welch t-test indicates a statistically significant difference between the mean scores of students with attendance of 90% or above and students below 90% (p = 0.003). Results should support academic interventions, not label or punish students.</w:t>
      </w:r>
    </w:p>
    <w:p>
      <w:pPr>
        <w:pStyle w:val="Heading1"/>
        <w:spacing w:before="180" w:after="60"/>
      </w:pPr>
      <w:r>
        <w:rPr>
          <w:rFonts w:ascii="Aptos" w:hAnsi="Aptos"/>
          <w:b/>
          <w:sz w:val="26"/>
        </w:rPr>
        <w:t>Table of Contents</w:t>
      </w:r>
    </w:p>
    <w:p>
      <w:pPr>
        <w:spacing w:after="100"/>
      </w:pPr>
      <w:r>
        <w:rPr>
          <w:rFonts w:ascii="Aptos" w:hAnsi="Aptos"/>
          <w:b w:val="0"/>
          <w:i w:val="0"/>
          <w:sz w:val="20"/>
        </w:rPr>
        <w:t>1. Problem Statement</w:t>
      </w:r>
    </w:p>
    <w:p>
      <w:pPr>
        <w:spacing w:after="100"/>
      </w:pPr>
      <w:r>
        <w:rPr>
          <w:rFonts w:ascii="Aptos" w:hAnsi="Aptos"/>
          <w:b w:val="0"/>
          <w:i w:val="0"/>
          <w:sz w:val="20"/>
        </w:rPr>
        <w:t>2. Dataset Description</w:t>
      </w:r>
    </w:p>
    <w:p>
      <w:pPr>
        <w:spacing w:after="100"/>
      </w:pPr>
      <w:r>
        <w:rPr>
          <w:rFonts w:ascii="Aptos" w:hAnsi="Aptos"/>
          <w:b w:val="0"/>
          <w:i w:val="0"/>
          <w:sz w:val="20"/>
        </w:rPr>
        <w:t>3. Data Preparation and Methodology</w:t>
      </w:r>
    </w:p>
    <w:p>
      <w:pPr>
        <w:spacing w:after="100"/>
      </w:pPr>
      <w:r>
        <w:rPr>
          <w:rFonts w:ascii="Aptos" w:hAnsi="Aptos"/>
          <w:b w:val="0"/>
          <w:i w:val="0"/>
          <w:sz w:val="20"/>
        </w:rPr>
        <w:t>4. Correlation Analysis</w:t>
      </w:r>
    </w:p>
    <w:p>
      <w:pPr>
        <w:spacing w:after="100"/>
      </w:pPr>
      <w:r>
        <w:rPr>
          <w:rFonts w:ascii="Aptos" w:hAnsi="Aptos"/>
          <w:b w:val="0"/>
          <w:i w:val="0"/>
          <w:sz w:val="20"/>
        </w:rPr>
        <w:t>5. Visualization</w:t>
      </w:r>
    </w:p>
    <w:p>
      <w:pPr>
        <w:spacing w:after="100"/>
      </w:pPr>
      <w:r>
        <w:rPr>
          <w:rFonts w:ascii="Aptos" w:hAnsi="Aptos"/>
          <w:b w:val="0"/>
          <w:i w:val="0"/>
          <w:sz w:val="20"/>
        </w:rPr>
        <w:t>6. Regression Analysis</w:t>
      </w:r>
    </w:p>
    <w:p>
      <w:pPr>
        <w:spacing w:after="100"/>
      </w:pPr>
      <w:r>
        <w:rPr>
          <w:rFonts w:ascii="Aptos" w:hAnsi="Aptos"/>
          <w:b w:val="0"/>
          <w:i w:val="0"/>
          <w:sz w:val="20"/>
        </w:rPr>
        <w:t>7. Hypothesis Testing</w:t>
      </w:r>
    </w:p>
    <w:p>
      <w:pPr>
        <w:spacing w:after="100"/>
      </w:pPr>
      <w:r>
        <w:rPr>
          <w:rFonts w:ascii="Aptos" w:hAnsi="Aptos"/>
          <w:b w:val="0"/>
          <w:i w:val="0"/>
          <w:sz w:val="20"/>
        </w:rPr>
        <w:t>8. Results and Interpretation</w:t>
      </w:r>
    </w:p>
    <w:p>
      <w:pPr>
        <w:spacing w:after="100"/>
      </w:pPr>
      <w:r>
        <w:rPr>
          <w:rFonts w:ascii="Aptos" w:hAnsi="Aptos"/>
          <w:b w:val="0"/>
          <w:i w:val="0"/>
          <w:sz w:val="20"/>
        </w:rPr>
        <w:t>9. Conclusion</w:t>
      </w:r>
    </w:p>
    <w:p>
      <w:pPr>
        <w:spacing w:after="100"/>
      </w:pPr>
      <w:r>
        <w:rPr>
          <w:rFonts w:ascii="Aptos" w:hAnsi="Aptos"/>
          <w:b w:val="0"/>
          <w:i w:val="0"/>
          <w:sz w:val="20"/>
        </w:rPr>
        <w:t>10. References</w:t>
      </w:r>
    </w:p>
    <w:p>
      <w:pPr>
        <w:spacing w:after="100"/>
      </w:pPr>
      <w:r>
        <w:rPr>
          <w:rFonts w:ascii="Aptos" w:hAnsi="Aptos"/>
          <w:b w:val="0"/>
          <w:i w:val="0"/>
          <w:sz w:val="20"/>
        </w:rPr>
        <w:t>Appendix A - Sample Records</w:t>
      </w:r>
    </w:p>
    <w:p>
      <w:pPr>
        <w:pStyle w:val="Heading1"/>
        <w:spacing w:before="180" w:after="60"/>
      </w:pPr>
      <w:r>
        <w:rPr>
          <w:rFonts w:ascii="Aptos" w:hAnsi="Aptos"/>
          <w:b/>
          <w:sz w:val="26"/>
        </w:rPr>
        <w:t>1. Problem Statement</w:t>
      </w:r>
    </w:p>
    <w:p>
      <w:pPr>
        <w:spacing w:after="100"/>
      </w:pPr>
      <w:r>
        <w:rPr>
          <w:rFonts w:ascii="Aptos" w:hAnsi="Aptos"/>
          <w:b w:val="0"/>
          <w:i w:val="0"/>
          <w:sz w:val="20"/>
        </w:rPr>
        <w:t>Student performance varies due to many connected academic, personal and institutional factors. This project uses descriptive statistics, correlation, visualization, regression and hypothesis testing to examine whether measurable study patterns are associated with final examination scores.</w:t>
      </w:r>
    </w:p>
    <w:p>
      <w:pPr>
        <w:pStyle w:val="Heading2"/>
        <w:spacing w:before="180" w:after="60"/>
      </w:pPr>
      <w:r>
        <w:rPr>
          <w:rFonts w:ascii="Aptos" w:hAnsi="Aptos"/>
          <w:b/>
          <w:sz w:val="22"/>
        </w:rPr>
        <w:t>Objectives</w:t>
      </w:r>
    </w:p>
    <w:p>
      <w:pPr>
        <w:pStyle w:val="ListBullet"/>
        <w:spacing w:after="100"/>
      </w:pPr>
      <w:r>
        <w:rPr>
          <w:rFonts w:ascii="Aptos" w:hAnsi="Aptos"/>
          <w:b w:val="0"/>
          <w:i w:val="0"/>
          <w:sz w:val="20"/>
        </w:rPr>
        <w:t>Identify variables associated with final examination score.</w:t>
      </w:r>
    </w:p>
    <w:p>
      <w:pPr>
        <w:pStyle w:val="ListBullet"/>
        <w:spacing w:after="100"/>
      </w:pPr>
      <w:r>
        <w:rPr>
          <w:rFonts w:ascii="Aptos" w:hAnsi="Aptos"/>
          <w:b w:val="0"/>
          <w:i w:val="0"/>
          <w:sz w:val="20"/>
        </w:rPr>
        <w:t>Visualize score distributions and important relationships.</w:t>
      </w:r>
    </w:p>
    <w:p>
      <w:pPr>
        <w:pStyle w:val="ListBullet"/>
        <w:spacing w:after="100"/>
      </w:pPr>
      <w:r>
        <w:rPr>
          <w:rFonts w:ascii="Aptos" w:hAnsi="Aptos"/>
          <w:b w:val="0"/>
          <w:i w:val="0"/>
          <w:sz w:val="20"/>
        </w:rPr>
        <w:t>Develop a simple linear regression model using study hours.</w:t>
      </w:r>
    </w:p>
    <w:p>
      <w:pPr>
        <w:pStyle w:val="ListBullet"/>
        <w:spacing w:after="100"/>
      </w:pPr>
      <w:r>
        <w:rPr>
          <w:rFonts w:ascii="Aptos" w:hAnsi="Aptos"/>
          <w:b w:val="0"/>
          <w:i w:val="0"/>
          <w:sz w:val="20"/>
        </w:rPr>
        <w:t>Test whether high-attendance students have different mean scores.</w:t>
      </w:r>
    </w:p>
    <w:p>
      <w:pPr>
        <w:pStyle w:val="ListBullet"/>
        <w:spacing w:after="100"/>
      </w:pPr>
      <w:r>
        <w:rPr>
          <w:rFonts w:ascii="Aptos" w:hAnsi="Aptos"/>
          <w:b w:val="0"/>
          <w:i w:val="0"/>
          <w:sz w:val="20"/>
        </w:rPr>
        <w:t>Interpret association carefully and ethically.</w:t>
      </w:r>
    </w:p>
    <w:p>
      <w:pPr>
        <w:pStyle w:val="Heading2"/>
        <w:spacing w:before="180" w:after="60"/>
      </w:pPr>
      <w:r>
        <w:rPr>
          <w:rFonts w:ascii="Aptos" w:hAnsi="Aptos"/>
          <w:b/>
          <w:sz w:val="22"/>
        </w:rPr>
        <w:t>Research Questions</w:t>
      </w:r>
    </w:p>
    <w:p>
      <w:pPr>
        <w:pStyle w:val="ListBullet"/>
        <w:spacing w:after="100"/>
      </w:pPr>
      <w:r>
        <w:rPr>
          <w:rFonts w:ascii="Aptos" w:hAnsi="Aptos"/>
          <w:b w:val="0"/>
          <w:i w:val="0"/>
          <w:sz w:val="20"/>
        </w:rPr>
        <w:t>Do weekly study hours have a strong relationship with final score?</w:t>
      </w:r>
    </w:p>
    <w:p>
      <w:pPr>
        <w:pStyle w:val="ListBullet"/>
        <w:spacing w:after="100"/>
      </w:pPr>
      <w:r>
        <w:rPr>
          <w:rFonts w:ascii="Aptos" w:hAnsi="Aptos"/>
          <w:b w:val="0"/>
          <w:i w:val="0"/>
          <w:sz w:val="20"/>
        </w:rPr>
        <w:t>Does attendance significantly separate average final scores?</w:t>
      </w:r>
    </w:p>
    <w:p>
      <w:pPr>
        <w:pStyle w:val="ListBullet"/>
        <w:spacing w:after="100"/>
      </w:pPr>
      <w:r>
        <w:rPr>
          <w:rFonts w:ascii="Aptos" w:hAnsi="Aptos"/>
          <w:b w:val="0"/>
          <w:i w:val="0"/>
          <w:sz w:val="20"/>
        </w:rPr>
        <w:t>Which variables show useful associations for academic-support planning?</w:t>
      </w:r>
    </w:p>
    <w:p>
      <w:pPr>
        <w:pStyle w:val="Heading1"/>
        <w:spacing w:before="180" w:after="60"/>
      </w:pPr>
      <w:r>
        <w:rPr>
          <w:rFonts w:ascii="Aptos" w:hAnsi="Aptos"/>
          <w:b/>
          <w:sz w:val="26"/>
        </w:rPr>
        <w:t>2. Dataset Description</w:t>
      </w:r>
    </w:p>
    <w:p>
      <w:pPr>
        <w:spacing w:after="100"/>
      </w:pPr>
      <w:r>
        <w:rPr>
          <w:rFonts w:ascii="Aptos" w:hAnsi="Aptos"/>
          <w:b w:val="0"/>
          <w:i w:val="0"/>
          <w:sz w:val="20"/>
        </w:rPr>
        <w:t>The illustrative dataset contains 60 anonymized student records created for academic demonstration. It contains no real student identities or personally identifiable information. Values represent plausible study and performance patterns, but should not be used to make real admissions, grading or disciplinary decisions.</w:t>
      </w:r>
    </w:p>
    <w:tbl>
      <w:tblPr>
        <w:tblStyle w:val="TableGrid"/>
        <w:tblW w:type="auto" w:w="0"/>
        <w:jc w:val="left"/>
        <w:tblLayout w:type="fixed"/>
        <w:tblLook w:firstColumn="1" w:firstRow="1" w:lastColumn="0" w:lastRow="0" w:noHBand="0" w:noVBand="1" w:val="04A0"/>
      </w:tblPr>
      <w:tblGrid>
        <w:gridCol w:w="3360"/>
        <w:gridCol w:w="3360"/>
        <w:gridCol w:w="3360"/>
      </w:tblGrid>
      <w:tr>
        <w:tc>
          <w:tcPr>
            <w:tcW w:type="dxa" w:w="2232"/>
            <w:shd w:fill="D9EAF7"/>
          </w:tcPr>
          <w:p>
            <w:r/>
            <w:r>
              <w:rPr>
                <w:rFonts w:ascii="Aptos" w:hAnsi="Aptos"/>
                <w:b/>
                <w:sz w:val="16"/>
              </w:rPr>
              <w:t>Variable</w:t>
            </w:r>
          </w:p>
        </w:tc>
        <w:tc>
          <w:tcPr>
            <w:tcW w:type="dxa" w:w="5040"/>
            <w:shd w:fill="D9EAF7"/>
          </w:tcPr>
          <w:p>
            <w:r/>
            <w:r>
              <w:rPr>
                <w:rFonts w:ascii="Aptos" w:hAnsi="Aptos"/>
                <w:b/>
                <w:sz w:val="16"/>
              </w:rPr>
              <w:t>Meaning</w:t>
            </w:r>
          </w:p>
        </w:tc>
        <w:tc>
          <w:tcPr>
            <w:tcW w:type="dxa" w:w="1728"/>
            <w:shd w:fill="D9EAF7"/>
          </w:tcPr>
          <w:p>
            <w:r/>
            <w:r>
              <w:rPr>
                <w:rFonts w:ascii="Aptos" w:hAnsi="Aptos"/>
                <w:b/>
                <w:sz w:val="16"/>
              </w:rPr>
              <w:t>Type</w:t>
            </w:r>
          </w:p>
        </w:tc>
      </w:tr>
      <w:tr>
        <w:tc>
          <w:tcPr>
            <w:tcW w:type="dxa" w:w="2232"/>
          </w:tcPr>
          <w:p>
            <w:r/>
            <w:r>
              <w:rPr>
                <w:rFonts w:ascii="Aptos" w:hAnsi="Aptos"/>
                <w:b w:val="0"/>
                <w:sz w:val="16"/>
              </w:rPr>
              <w:t>study_hours</w:t>
            </w:r>
          </w:p>
        </w:tc>
        <w:tc>
          <w:tcPr>
            <w:tcW w:type="dxa" w:w="5040"/>
          </w:tcPr>
          <w:p>
            <w:r/>
            <w:r>
              <w:rPr>
                <w:rFonts w:ascii="Aptos" w:hAnsi="Aptos"/>
                <w:b w:val="0"/>
                <w:sz w:val="16"/>
              </w:rPr>
              <w:t>Average study hours per week</w:t>
            </w:r>
          </w:p>
        </w:tc>
        <w:tc>
          <w:tcPr>
            <w:tcW w:type="dxa" w:w="1728"/>
          </w:tcPr>
          <w:p>
            <w:r/>
            <w:r>
              <w:rPr>
                <w:rFonts w:ascii="Aptos" w:hAnsi="Aptos"/>
                <w:b w:val="0"/>
                <w:sz w:val="16"/>
              </w:rPr>
              <w:t>Numeric</w:t>
            </w:r>
          </w:p>
        </w:tc>
      </w:tr>
      <w:tr>
        <w:tc>
          <w:tcPr>
            <w:tcW w:type="dxa" w:w="2232"/>
          </w:tcPr>
          <w:p>
            <w:r/>
            <w:r>
              <w:rPr>
                <w:rFonts w:ascii="Aptos" w:hAnsi="Aptos"/>
                <w:b w:val="0"/>
                <w:sz w:val="16"/>
              </w:rPr>
              <w:t>attendance</w:t>
            </w:r>
          </w:p>
        </w:tc>
        <w:tc>
          <w:tcPr>
            <w:tcW w:type="dxa" w:w="5040"/>
          </w:tcPr>
          <w:p>
            <w:r/>
            <w:r>
              <w:rPr>
                <w:rFonts w:ascii="Aptos" w:hAnsi="Aptos"/>
                <w:b w:val="0"/>
                <w:sz w:val="16"/>
              </w:rPr>
              <w:t>Attendance percentage</w:t>
            </w:r>
          </w:p>
        </w:tc>
        <w:tc>
          <w:tcPr>
            <w:tcW w:type="dxa" w:w="1728"/>
          </w:tcPr>
          <w:p>
            <w:r/>
            <w:r>
              <w:rPr>
                <w:rFonts w:ascii="Aptos" w:hAnsi="Aptos"/>
                <w:b w:val="0"/>
                <w:sz w:val="16"/>
              </w:rPr>
              <w:t>Numeric</w:t>
            </w:r>
          </w:p>
        </w:tc>
      </w:tr>
      <w:tr>
        <w:tc>
          <w:tcPr>
            <w:tcW w:type="dxa" w:w="2232"/>
          </w:tcPr>
          <w:p>
            <w:r/>
            <w:r>
              <w:rPr>
                <w:rFonts w:ascii="Aptos" w:hAnsi="Aptos"/>
                <w:b w:val="0"/>
                <w:sz w:val="16"/>
              </w:rPr>
              <w:t>previous_score</w:t>
            </w:r>
          </w:p>
        </w:tc>
        <w:tc>
          <w:tcPr>
            <w:tcW w:type="dxa" w:w="5040"/>
          </w:tcPr>
          <w:p>
            <w:r/>
            <w:r>
              <w:rPr>
                <w:rFonts w:ascii="Aptos" w:hAnsi="Aptos"/>
                <w:b w:val="0"/>
                <w:sz w:val="16"/>
              </w:rPr>
              <w:t>Previous examination score (%)</w:t>
            </w:r>
          </w:p>
        </w:tc>
        <w:tc>
          <w:tcPr>
            <w:tcW w:type="dxa" w:w="1728"/>
          </w:tcPr>
          <w:p>
            <w:r/>
            <w:r>
              <w:rPr>
                <w:rFonts w:ascii="Aptos" w:hAnsi="Aptos"/>
                <w:b w:val="0"/>
                <w:sz w:val="16"/>
              </w:rPr>
              <w:t>Numeric</w:t>
            </w:r>
          </w:p>
        </w:tc>
      </w:tr>
      <w:tr>
        <w:tc>
          <w:tcPr>
            <w:tcW w:type="dxa" w:w="2232"/>
          </w:tcPr>
          <w:p>
            <w:r/>
            <w:r>
              <w:rPr>
                <w:rFonts w:ascii="Aptos" w:hAnsi="Aptos"/>
                <w:b w:val="0"/>
                <w:sz w:val="16"/>
              </w:rPr>
              <w:t>sleep_hours</w:t>
            </w:r>
          </w:p>
        </w:tc>
        <w:tc>
          <w:tcPr>
            <w:tcW w:type="dxa" w:w="5040"/>
          </w:tcPr>
          <w:p>
            <w:r/>
            <w:r>
              <w:rPr>
                <w:rFonts w:ascii="Aptos" w:hAnsi="Aptos"/>
                <w:b w:val="0"/>
                <w:sz w:val="16"/>
              </w:rPr>
              <w:t>Average sleep per night</w:t>
            </w:r>
          </w:p>
        </w:tc>
        <w:tc>
          <w:tcPr>
            <w:tcW w:type="dxa" w:w="1728"/>
          </w:tcPr>
          <w:p>
            <w:r/>
            <w:r>
              <w:rPr>
                <w:rFonts w:ascii="Aptos" w:hAnsi="Aptos"/>
                <w:b w:val="0"/>
                <w:sz w:val="16"/>
              </w:rPr>
              <w:t>Numeric</w:t>
            </w:r>
          </w:p>
        </w:tc>
      </w:tr>
      <w:tr>
        <w:tc>
          <w:tcPr>
            <w:tcW w:type="dxa" w:w="2232"/>
          </w:tcPr>
          <w:p>
            <w:r/>
            <w:r>
              <w:rPr>
                <w:rFonts w:ascii="Aptos" w:hAnsi="Aptos"/>
                <w:b w:val="0"/>
                <w:sz w:val="16"/>
              </w:rPr>
              <w:t>assignments</w:t>
            </w:r>
          </w:p>
        </w:tc>
        <w:tc>
          <w:tcPr>
            <w:tcW w:type="dxa" w:w="5040"/>
          </w:tcPr>
          <w:p>
            <w:r/>
            <w:r>
              <w:rPr>
                <w:rFonts w:ascii="Aptos" w:hAnsi="Aptos"/>
                <w:b w:val="0"/>
                <w:sz w:val="16"/>
              </w:rPr>
              <w:t>Assignment completion (%)</w:t>
            </w:r>
          </w:p>
        </w:tc>
        <w:tc>
          <w:tcPr>
            <w:tcW w:type="dxa" w:w="1728"/>
          </w:tcPr>
          <w:p>
            <w:r/>
            <w:r>
              <w:rPr>
                <w:rFonts w:ascii="Aptos" w:hAnsi="Aptos"/>
                <w:b w:val="0"/>
                <w:sz w:val="16"/>
              </w:rPr>
              <w:t>Numeric</w:t>
            </w:r>
          </w:p>
        </w:tc>
      </w:tr>
      <w:tr>
        <w:tc>
          <w:tcPr>
            <w:tcW w:type="dxa" w:w="2232"/>
          </w:tcPr>
          <w:p>
            <w:r/>
            <w:r>
              <w:rPr>
                <w:rFonts w:ascii="Aptos" w:hAnsi="Aptos"/>
                <w:b w:val="0"/>
                <w:sz w:val="16"/>
              </w:rPr>
              <w:t>final_score</w:t>
            </w:r>
          </w:p>
        </w:tc>
        <w:tc>
          <w:tcPr>
            <w:tcW w:type="dxa" w:w="5040"/>
          </w:tcPr>
          <w:p>
            <w:r/>
            <w:r>
              <w:rPr>
                <w:rFonts w:ascii="Aptos" w:hAnsi="Aptos"/>
                <w:b w:val="0"/>
                <w:sz w:val="16"/>
              </w:rPr>
              <w:t>Final examination score (%) - target</w:t>
            </w:r>
          </w:p>
        </w:tc>
        <w:tc>
          <w:tcPr>
            <w:tcW w:type="dxa" w:w="1728"/>
          </w:tcPr>
          <w:p>
            <w:r/>
            <w:r>
              <w:rPr>
                <w:rFonts w:ascii="Aptos" w:hAnsi="Aptos"/>
                <w:b w:val="0"/>
                <w:sz w:val="16"/>
              </w:rPr>
              <w:t>Numeric</w:t>
            </w:r>
          </w:p>
        </w:tc>
      </w:tr>
    </w:tbl>
    <w:p>
      <w:pPr>
        <w:pStyle w:val="Heading1"/>
        <w:spacing w:before="180" w:after="60"/>
      </w:pPr>
      <w:r>
        <w:rPr>
          <w:rFonts w:ascii="Aptos" w:hAnsi="Aptos"/>
          <w:b/>
          <w:sz w:val="26"/>
        </w:rPr>
        <w:t>3. Data Preparation and Methodology</w:t>
      </w:r>
    </w:p>
    <w:p>
      <w:pPr>
        <w:spacing w:after="100"/>
      </w:pPr>
      <w:r>
        <w:rPr>
          <w:rFonts w:ascii="Aptos" w:hAnsi="Aptos"/>
          <w:b w:val="0"/>
          <w:i w:val="0"/>
          <w:sz w:val="20"/>
        </w:rPr>
        <w:t>The workflow checks ranges, removes duplicate entries, summarizes numeric variables, calculates Pearson correlations, creates visualizations, fits ordinary least squares regression and performs Welch two-sample t-tests. Statistical significance is evaluated at alpha = 0.05.</w:t>
      </w:r>
    </w:p>
    <w:p>
      <w:pPr>
        <w:pStyle w:val="Heading2"/>
        <w:spacing w:before="180" w:after="60"/>
      </w:pPr>
      <w:r>
        <w:rPr>
          <w:rFonts w:ascii="Aptos" w:hAnsi="Aptos"/>
          <w:b/>
          <w:sz w:val="22"/>
        </w:rPr>
        <w:t>Tools Used</w:t>
      </w:r>
    </w:p>
    <w:p>
      <w:pPr>
        <w:spacing w:after="100"/>
      </w:pPr>
      <w:r>
        <w:rPr>
          <w:rFonts w:ascii="Aptos" w:hAnsi="Aptos"/>
          <w:b w:val="0"/>
          <w:i w:val="0"/>
          <w:sz w:val="20"/>
        </w:rPr>
        <w:t>Python, Pandas, NumPy, Matplotlib, Seaborn, SciPy and Statsmodels can be used for data preparation, visualization, statistical testing and regression.</w:t>
      </w:r>
    </w:p>
    <w:p>
      <w:pPr>
        <w:pStyle w:val="Heading2"/>
        <w:spacing w:before="180" w:after="60"/>
      </w:pPr>
      <w:r>
        <w:rPr>
          <w:rFonts w:ascii="Aptos" w:hAnsi="Aptos"/>
          <w:b/>
          <w:sz w:val="22"/>
        </w:rPr>
        <w:t>Key Statistical Measures</w:t>
      </w:r>
    </w:p>
    <w:p>
      <w:pPr>
        <w:spacing w:after="100"/>
      </w:pPr>
      <w:r>
        <w:rPr>
          <w:rFonts w:ascii="Aptos" w:hAnsi="Aptos"/>
          <w:b w:val="0"/>
          <w:i w:val="0"/>
          <w:sz w:val="20"/>
        </w:rPr>
        <w:t>Pearson correlation measures linear association. Simple regression estimates Final Score = beta0 + beta1(Study Hours) + error. Welch t-test compares two group means without assuming equal variances.</w:t>
      </w:r>
    </w:p>
    <w:tbl>
      <w:tblPr>
        <w:tblStyle w:val="TableGrid"/>
        <w:tblW w:type="auto" w:w="0"/>
        <w:jc w:val="left"/>
        <w:tblLayout w:type="fixed"/>
        <w:tblLook w:firstColumn="1" w:firstRow="1" w:lastColumn="0" w:lastRow="0" w:noHBand="0" w:noVBand="1" w:val="04A0"/>
      </w:tblPr>
      <w:tblGrid>
        <w:gridCol w:w="2520"/>
        <w:gridCol w:w="2520"/>
        <w:gridCol w:w="2520"/>
        <w:gridCol w:w="2520"/>
      </w:tblGrid>
      <w:tr>
        <w:tc>
          <w:tcPr>
            <w:tcW w:type="dxa" w:w="2304"/>
            <w:shd w:fill="D9EAF7"/>
          </w:tcPr>
          <w:p>
            <w:r/>
            <w:r>
              <w:rPr>
                <w:rFonts w:ascii="Aptos" w:hAnsi="Aptos"/>
                <w:b/>
                <w:sz w:val="16"/>
              </w:rPr>
              <w:t>Statistic</w:t>
            </w:r>
          </w:p>
        </w:tc>
        <w:tc>
          <w:tcPr>
            <w:tcW w:type="dxa" w:w="2304"/>
            <w:shd w:fill="D9EAF7"/>
          </w:tcPr>
          <w:p>
            <w:r/>
            <w:r>
              <w:rPr>
                <w:rFonts w:ascii="Aptos" w:hAnsi="Aptos"/>
                <w:b/>
                <w:sz w:val="16"/>
              </w:rPr>
              <w:t>Final Score</w:t>
            </w:r>
          </w:p>
        </w:tc>
        <w:tc>
          <w:tcPr>
            <w:tcW w:type="dxa" w:w="2304"/>
            <w:shd w:fill="D9EAF7"/>
          </w:tcPr>
          <w:p>
            <w:r/>
            <w:r>
              <w:rPr>
                <w:rFonts w:ascii="Aptos" w:hAnsi="Aptos"/>
                <w:b/>
                <w:sz w:val="16"/>
              </w:rPr>
              <w:t>Study Hours</w:t>
            </w:r>
          </w:p>
        </w:tc>
        <w:tc>
          <w:tcPr>
            <w:tcW w:type="dxa" w:w="2304"/>
            <w:shd w:fill="D9EAF7"/>
          </w:tcPr>
          <w:p>
            <w:r/>
            <w:r>
              <w:rPr>
                <w:rFonts w:ascii="Aptos" w:hAnsi="Aptos"/>
                <w:b/>
                <w:sz w:val="16"/>
              </w:rPr>
              <w:t>Attendance</w:t>
            </w:r>
          </w:p>
        </w:tc>
      </w:tr>
      <w:tr>
        <w:tc>
          <w:tcPr>
            <w:tcW w:type="dxa" w:w="2304"/>
          </w:tcPr>
          <w:p>
            <w:r/>
            <w:r>
              <w:rPr>
                <w:rFonts w:ascii="Aptos" w:hAnsi="Aptos"/>
                <w:b w:val="0"/>
                <w:sz w:val="16"/>
              </w:rPr>
              <w:t>Mean</w:t>
            </w:r>
          </w:p>
        </w:tc>
        <w:tc>
          <w:tcPr>
            <w:tcW w:type="dxa" w:w="2304"/>
          </w:tcPr>
          <w:p>
            <w:r/>
            <w:r>
              <w:rPr>
                <w:rFonts w:ascii="Aptos" w:hAnsi="Aptos"/>
                <w:b w:val="0"/>
                <w:sz w:val="16"/>
              </w:rPr>
              <w:t>73.2</w:t>
            </w:r>
          </w:p>
        </w:tc>
        <w:tc>
          <w:tcPr>
            <w:tcW w:type="dxa" w:w="2304"/>
          </w:tcPr>
          <w:p>
            <w:r/>
            <w:r>
              <w:rPr>
                <w:rFonts w:ascii="Aptos" w:hAnsi="Aptos"/>
                <w:b w:val="0"/>
                <w:sz w:val="16"/>
              </w:rPr>
              <w:t>6.5</w:t>
            </w:r>
          </w:p>
        </w:tc>
        <w:tc>
          <w:tcPr>
            <w:tcW w:type="dxa" w:w="2304"/>
          </w:tcPr>
          <w:p>
            <w:r/>
            <w:r>
              <w:rPr>
                <w:rFonts w:ascii="Aptos" w:hAnsi="Aptos"/>
                <w:b w:val="0"/>
                <w:sz w:val="16"/>
              </w:rPr>
              <w:t>82.6</w:t>
            </w:r>
          </w:p>
        </w:tc>
      </w:tr>
      <w:tr>
        <w:tc>
          <w:tcPr>
            <w:tcW w:type="dxa" w:w="2304"/>
          </w:tcPr>
          <w:p>
            <w:r/>
            <w:r>
              <w:rPr>
                <w:rFonts w:ascii="Aptos" w:hAnsi="Aptos"/>
                <w:b w:val="0"/>
                <w:sz w:val="16"/>
              </w:rPr>
              <w:t>Median</w:t>
            </w:r>
          </w:p>
        </w:tc>
        <w:tc>
          <w:tcPr>
            <w:tcW w:type="dxa" w:w="2304"/>
          </w:tcPr>
          <w:p>
            <w:r/>
            <w:r>
              <w:rPr>
                <w:rFonts w:ascii="Aptos" w:hAnsi="Aptos"/>
                <w:b w:val="0"/>
                <w:sz w:val="16"/>
              </w:rPr>
              <w:t>74.0</w:t>
            </w:r>
          </w:p>
        </w:tc>
        <w:tc>
          <w:tcPr>
            <w:tcW w:type="dxa" w:w="2304"/>
          </w:tcPr>
          <w:p>
            <w:r/>
            <w:r>
              <w:rPr>
                <w:rFonts w:ascii="Aptos" w:hAnsi="Aptos"/>
                <w:b w:val="0"/>
                <w:sz w:val="16"/>
              </w:rPr>
              <w:t>6.4</w:t>
            </w:r>
          </w:p>
        </w:tc>
        <w:tc>
          <w:tcPr>
            <w:tcW w:type="dxa" w:w="2304"/>
          </w:tcPr>
          <w:p>
            <w:r/>
            <w:r>
              <w:rPr>
                <w:rFonts w:ascii="Aptos" w:hAnsi="Aptos"/>
                <w:b w:val="0"/>
                <w:sz w:val="16"/>
              </w:rPr>
              <w:t>84.0</w:t>
            </w:r>
          </w:p>
        </w:tc>
      </w:tr>
      <w:tr>
        <w:tc>
          <w:tcPr>
            <w:tcW w:type="dxa" w:w="2304"/>
          </w:tcPr>
          <w:p>
            <w:r/>
            <w:r>
              <w:rPr>
                <w:rFonts w:ascii="Aptos" w:hAnsi="Aptos"/>
                <w:b w:val="0"/>
                <w:sz w:val="16"/>
              </w:rPr>
              <w:t>Std. Dev.</w:t>
            </w:r>
          </w:p>
        </w:tc>
        <w:tc>
          <w:tcPr>
            <w:tcW w:type="dxa" w:w="2304"/>
          </w:tcPr>
          <w:p>
            <w:r/>
            <w:r>
              <w:rPr>
                <w:rFonts w:ascii="Aptos" w:hAnsi="Aptos"/>
                <w:b w:val="0"/>
                <w:sz w:val="16"/>
              </w:rPr>
              <w:t>12.8</w:t>
            </w:r>
          </w:p>
        </w:tc>
        <w:tc>
          <w:tcPr>
            <w:tcW w:type="dxa" w:w="2304"/>
          </w:tcPr>
          <w:p>
            <w:r/>
            <w:r>
              <w:rPr>
                <w:rFonts w:ascii="Aptos" w:hAnsi="Aptos"/>
                <w:b w:val="0"/>
                <w:sz w:val="16"/>
              </w:rPr>
              <w:t>3.1</w:t>
            </w:r>
          </w:p>
        </w:tc>
        <w:tc>
          <w:tcPr>
            <w:tcW w:type="dxa" w:w="2304"/>
          </w:tcPr>
          <w:p>
            <w:r/>
            <w:r>
              <w:rPr>
                <w:rFonts w:ascii="Aptos" w:hAnsi="Aptos"/>
                <w:b w:val="0"/>
                <w:sz w:val="16"/>
              </w:rPr>
              <w:t>11.2</w:t>
            </w:r>
          </w:p>
        </w:tc>
      </w:tr>
      <w:tr>
        <w:tc>
          <w:tcPr>
            <w:tcW w:type="dxa" w:w="2304"/>
          </w:tcPr>
          <w:p>
            <w:r/>
            <w:r>
              <w:rPr>
                <w:rFonts w:ascii="Aptos" w:hAnsi="Aptos"/>
                <w:b w:val="0"/>
                <w:sz w:val="16"/>
              </w:rPr>
              <w:t>Minimum</w:t>
            </w:r>
          </w:p>
        </w:tc>
        <w:tc>
          <w:tcPr>
            <w:tcW w:type="dxa" w:w="2304"/>
          </w:tcPr>
          <w:p>
            <w:r/>
            <w:r>
              <w:rPr>
                <w:rFonts w:ascii="Aptos" w:hAnsi="Aptos"/>
                <w:b w:val="0"/>
                <w:sz w:val="16"/>
              </w:rPr>
              <w:t>42.0</w:t>
            </w:r>
          </w:p>
        </w:tc>
        <w:tc>
          <w:tcPr>
            <w:tcW w:type="dxa" w:w="2304"/>
          </w:tcPr>
          <w:p>
            <w:r/>
            <w:r>
              <w:rPr>
                <w:rFonts w:ascii="Aptos" w:hAnsi="Aptos"/>
                <w:b w:val="0"/>
                <w:sz w:val="16"/>
              </w:rPr>
              <w:t>1.1</w:t>
            </w:r>
          </w:p>
        </w:tc>
        <w:tc>
          <w:tcPr>
            <w:tcW w:type="dxa" w:w="2304"/>
          </w:tcPr>
          <w:p>
            <w:r/>
            <w:r>
              <w:rPr>
                <w:rFonts w:ascii="Aptos" w:hAnsi="Aptos"/>
                <w:b w:val="0"/>
                <w:sz w:val="16"/>
              </w:rPr>
              <w:t>55.0</w:t>
            </w:r>
          </w:p>
        </w:tc>
      </w:tr>
      <w:tr>
        <w:tc>
          <w:tcPr>
            <w:tcW w:type="dxa" w:w="2304"/>
          </w:tcPr>
          <w:p>
            <w:r/>
            <w:r>
              <w:rPr>
                <w:rFonts w:ascii="Aptos" w:hAnsi="Aptos"/>
                <w:b w:val="0"/>
                <w:sz w:val="16"/>
              </w:rPr>
              <w:t>Maximum</w:t>
            </w:r>
          </w:p>
        </w:tc>
        <w:tc>
          <w:tcPr>
            <w:tcW w:type="dxa" w:w="2304"/>
          </w:tcPr>
          <w:p>
            <w:r/>
            <w:r>
              <w:rPr>
                <w:rFonts w:ascii="Aptos" w:hAnsi="Aptos"/>
                <w:b w:val="0"/>
                <w:sz w:val="16"/>
              </w:rPr>
              <w:t>97.0</w:t>
            </w:r>
          </w:p>
        </w:tc>
        <w:tc>
          <w:tcPr>
            <w:tcW w:type="dxa" w:w="2304"/>
          </w:tcPr>
          <w:p>
            <w:r/>
            <w:r>
              <w:rPr>
                <w:rFonts w:ascii="Aptos" w:hAnsi="Aptos"/>
                <w:b w:val="0"/>
                <w:sz w:val="16"/>
              </w:rPr>
              <w:t>11.9</w:t>
            </w:r>
          </w:p>
        </w:tc>
        <w:tc>
          <w:tcPr>
            <w:tcW w:type="dxa" w:w="2304"/>
          </w:tcPr>
          <w:p>
            <w:r/>
            <w:r>
              <w:rPr>
                <w:rFonts w:ascii="Aptos" w:hAnsi="Aptos"/>
                <w:b w:val="0"/>
                <w:sz w:val="16"/>
              </w:rPr>
              <w:t>100.0</w:t>
            </w:r>
          </w:p>
        </w:tc>
      </w:tr>
    </w:tbl>
    <w:p>
      <w:pPr>
        <w:pStyle w:val="Heading1"/>
        <w:spacing w:before="180" w:after="60"/>
      </w:pPr>
      <w:r>
        <w:rPr>
          <w:rFonts w:ascii="Aptos" w:hAnsi="Aptos"/>
          <w:b/>
          <w:sz w:val="26"/>
        </w:rPr>
        <w:t>4. Correlation Analysis</w:t>
      </w:r>
    </w:p>
    <w:p>
      <w:pPr>
        <w:spacing w:after="100"/>
      </w:pPr>
      <w:r>
        <w:rPr>
          <w:rFonts w:ascii="Aptos" w:hAnsi="Aptos"/>
          <w:b w:val="0"/>
          <w:i w:val="0"/>
          <w:sz w:val="20"/>
        </w:rPr>
        <w:t>The correlation matrix shows that study hours are the strongest single correlate of final score. Attendance and previous score also show positive relationships, while sleep hours have a comparatively weak relationship in this illustrative sample. These values indicate association, not proof that changing one factor alone will change a score.</w:t>
      </w:r>
    </w:p>
    <w:p>
      <w:pPr>
        <w:jc w:val="center"/>
      </w:pPr>
      <w:r>
        <w:drawing>
          <wp:inline xmlns:a="http://schemas.openxmlformats.org/drawingml/2006/main" xmlns:pic="http://schemas.openxmlformats.org/drawingml/2006/picture">
            <wp:extent cx="6126480" cy="3413760"/>
            <wp:docPr id="1" name="Picture 1"/>
            <wp:cNvGraphicFramePr>
              <a:graphicFrameLocks noChangeAspect="1"/>
            </wp:cNvGraphicFramePr>
            <a:graphic>
              <a:graphicData uri="http://schemas.openxmlformats.org/drawingml/2006/picture">
                <pic:pic>
                  <pic:nvPicPr>
                    <pic:cNvPr id="0" name="fig1.png"/>
                    <pic:cNvPicPr/>
                  </pic:nvPicPr>
                  <pic:blipFill>
                    <a:blip r:embed="rId18"/>
                    <a:stretch>
                      <a:fillRect/>
                    </a:stretch>
                  </pic:blipFill>
                  <pic:spPr>
                    <a:xfrm>
                      <a:off x="0" y="0"/>
                      <a:ext cx="6126480" cy="3413760"/>
                    </a:xfrm>
                    <a:prstGeom prst="rect"/>
                  </pic:spPr>
                </pic:pic>
              </a:graphicData>
            </a:graphic>
          </wp:inline>
        </w:drawing>
      </w:r>
    </w:p>
    <w:p>
      <w:pPr>
        <w:spacing w:after="100"/>
        <w:jc w:val="center"/>
      </w:pPr>
      <w:r>
        <w:rPr>
          <w:rFonts w:ascii="Aptos" w:hAnsi="Aptos"/>
          <w:b w:val="0"/>
          <w:i/>
          <w:sz w:val="18"/>
        </w:rPr>
        <w:t>Figure 1. Correlation matrix of selected student-performance variables</w:t>
      </w:r>
    </w:p>
    <w:tbl>
      <w:tblPr>
        <w:tblStyle w:val="TableGrid"/>
        <w:tblW w:type="auto" w:w="0"/>
        <w:jc w:val="left"/>
        <w:tblLayout w:type="fixed"/>
        <w:tblLook w:firstColumn="1" w:firstRow="1" w:lastColumn="0" w:lastRow="0" w:noHBand="0" w:noVBand="1" w:val="04A0"/>
      </w:tblPr>
      <w:tblGrid>
        <w:gridCol w:w="3360"/>
        <w:gridCol w:w="3360"/>
        <w:gridCol w:w="3360"/>
      </w:tblGrid>
      <w:tr>
        <w:tc>
          <w:tcPr>
            <w:tcW w:type="dxa" w:w="2880"/>
            <w:shd w:fill="D9EAF7"/>
          </w:tcPr>
          <w:p>
            <w:r/>
            <w:r>
              <w:rPr>
                <w:rFonts w:ascii="Aptos" w:hAnsi="Aptos"/>
                <w:b/>
                <w:sz w:val="16"/>
              </w:rPr>
              <w:t>Variable</w:t>
            </w:r>
          </w:p>
        </w:tc>
        <w:tc>
          <w:tcPr>
            <w:tcW w:type="dxa" w:w="3600"/>
            <w:shd w:fill="D9EAF7"/>
          </w:tcPr>
          <w:p>
            <w:r/>
            <w:r>
              <w:rPr>
                <w:rFonts w:ascii="Aptos" w:hAnsi="Aptos"/>
                <w:b/>
                <w:sz w:val="16"/>
              </w:rPr>
              <w:t>Correlation with Final Score (r)</w:t>
            </w:r>
          </w:p>
        </w:tc>
        <w:tc>
          <w:tcPr>
            <w:tcW w:type="dxa" w:w="2880"/>
            <w:shd w:fill="D9EAF7"/>
          </w:tcPr>
          <w:p>
            <w:r/>
            <w:r>
              <w:rPr>
                <w:rFonts w:ascii="Aptos" w:hAnsi="Aptos"/>
                <w:b/>
                <w:sz w:val="16"/>
              </w:rPr>
              <w:t>Interpretation</w:t>
            </w:r>
          </w:p>
        </w:tc>
      </w:tr>
      <w:tr>
        <w:tc>
          <w:tcPr>
            <w:tcW w:type="dxa" w:w="2880"/>
          </w:tcPr>
          <w:p>
            <w:r/>
            <w:r>
              <w:rPr>
                <w:rFonts w:ascii="Aptos" w:hAnsi="Aptos"/>
                <w:b w:val="0"/>
                <w:sz w:val="16"/>
              </w:rPr>
              <w:t>study_hours</w:t>
            </w:r>
          </w:p>
        </w:tc>
        <w:tc>
          <w:tcPr>
            <w:tcW w:type="dxa" w:w="3600"/>
          </w:tcPr>
          <w:p>
            <w:r/>
            <w:r>
              <w:rPr>
                <w:rFonts w:ascii="Aptos" w:hAnsi="Aptos"/>
                <w:b w:val="0"/>
                <w:sz w:val="16"/>
              </w:rPr>
              <w:t>0.68</w:t>
            </w:r>
          </w:p>
        </w:tc>
        <w:tc>
          <w:tcPr>
            <w:tcW w:type="dxa" w:w="2880"/>
          </w:tcPr>
          <w:p>
            <w:r/>
            <w:r>
              <w:rPr>
                <w:rFonts w:ascii="Aptos" w:hAnsi="Aptos"/>
                <w:b w:val="0"/>
                <w:sz w:val="16"/>
              </w:rPr>
              <w:t>Strong positive</w:t>
            </w:r>
          </w:p>
        </w:tc>
      </w:tr>
      <w:tr>
        <w:tc>
          <w:tcPr>
            <w:tcW w:type="dxa" w:w="2880"/>
          </w:tcPr>
          <w:p>
            <w:r/>
            <w:r>
              <w:rPr>
                <w:rFonts w:ascii="Aptos" w:hAnsi="Aptos"/>
                <w:b w:val="0"/>
                <w:sz w:val="16"/>
              </w:rPr>
              <w:t>attendance</w:t>
            </w:r>
          </w:p>
        </w:tc>
        <w:tc>
          <w:tcPr>
            <w:tcW w:type="dxa" w:w="3600"/>
          </w:tcPr>
          <w:p>
            <w:r/>
            <w:r>
              <w:rPr>
                <w:rFonts w:ascii="Aptos" w:hAnsi="Aptos"/>
                <w:b w:val="0"/>
                <w:sz w:val="16"/>
              </w:rPr>
              <w:t>0.58</w:t>
            </w:r>
          </w:p>
        </w:tc>
        <w:tc>
          <w:tcPr>
            <w:tcW w:type="dxa" w:w="2880"/>
          </w:tcPr>
          <w:p>
            <w:r/>
            <w:r>
              <w:rPr>
                <w:rFonts w:ascii="Aptos" w:hAnsi="Aptos"/>
                <w:b w:val="0"/>
                <w:sz w:val="16"/>
              </w:rPr>
              <w:t>Moderate positive</w:t>
            </w:r>
          </w:p>
        </w:tc>
      </w:tr>
      <w:tr>
        <w:tc>
          <w:tcPr>
            <w:tcW w:type="dxa" w:w="2880"/>
          </w:tcPr>
          <w:p>
            <w:r/>
            <w:r>
              <w:rPr>
                <w:rFonts w:ascii="Aptos" w:hAnsi="Aptos"/>
                <w:b w:val="0"/>
                <w:sz w:val="16"/>
              </w:rPr>
              <w:t>previous_score</w:t>
            </w:r>
          </w:p>
        </w:tc>
        <w:tc>
          <w:tcPr>
            <w:tcW w:type="dxa" w:w="3600"/>
          </w:tcPr>
          <w:p>
            <w:r/>
            <w:r>
              <w:rPr>
                <w:rFonts w:ascii="Aptos" w:hAnsi="Aptos"/>
                <w:b w:val="0"/>
                <w:sz w:val="16"/>
              </w:rPr>
              <w:t>0.47</w:t>
            </w:r>
          </w:p>
        </w:tc>
        <w:tc>
          <w:tcPr>
            <w:tcW w:type="dxa" w:w="2880"/>
          </w:tcPr>
          <w:p>
            <w:r/>
            <w:r>
              <w:rPr>
                <w:rFonts w:ascii="Aptos" w:hAnsi="Aptos"/>
                <w:b w:val="0"/>
                <w:sz w:val="16"/>
              </w:rPr>
              <w:t>Moderate positive</w:t>
            </w:r>
          </w:p>
        </w:tc>
      </w:tr>
      <w:tr>
        <w:tc>
          <w:tcPr>
            <w:tcW w:type="dxa" w:w="2880"/>
          </w:tcPr>
          <w:p>
            <w:r/>
            <w:r>
              <w:rPr>
                <w:rFonts w:ascii="Aptos" w:hAnsi="Aptos"/>
                <w:b w:val="0"/>
                <w:sz w:val="16"/>
              </w:rPr>
              <w:t>assignments</w:t>
            </w:r>
          </w:p>
        </w:tc>
        <w:tc>
          <w:tcPr>
            <w:tcW w:type="dxa" w:w="3600"/>
          </w:tcPr>
          <w:p>
            <w:r/>
            <w:r>
              <w:rPr>
                <w:rFonts w:ascii="Aptos" w:hAnsi="Aptos"/>
                <w:b w:val="0"/>
                <w:sz w:val="16"/>
              </w:rPr>
              <w:t>0.44</w:t>
            </w:r>
          </w:p>
        </w:tc>
        <w:tc>
          <w:tcPr>
            <w:tcW w:type="dxa" w:w="2880"/>
          </w:tcPr>
          <w:p>
            <w:r/>
            <w:r>
              <w:rPr>
                <w:rFonts w:ascii="Aptos" w:hAnsi="Aptos"/>
                <w:b w:val="0"/>
                <w:sz w:val="16"/>
              </w:rPr>
              <w:t>Moderate positive</w:t>
            </w:r>
          </w:p>
        </w:tc>
      </w:tr>
      <w:tr>
        <w:tc>
          <w:tcPr>
            <w:tcW w:type="dxa" w:w="2880"/>
          </w:tcPr>
          <w:p>
            <w:r/>
            <w:r>
              <w:rPr>
                <w:rFonts w:ascii="Aptos" w:hAnsi="Aptos"/>
                <w:b w:val="0"/>
                <w:sz w:val="16"/>
              </w:rPr>
              <w:t>sleep_hours</w:t>
            </w:r>
          </w:p>
        </w:tc>
        <w:tc>
          <w:tcPr>
            <w:tcW w:type="dxa" w:w="3600"/>
          </w:tcPr>
          <w:p>
            <w:r/>
            <w:r>
              <w:rPr>
                <w:rFonts w:ascii="Aptos" w:hAnsi="Aptos"/>
                <w:b w:val="0"/>
                <w:sz w:val="16"/>
              </w:rPr>
              <w:t>0.18</w:t>
            </w:r>
          </w:p>
        </w:tc>
        <w:tc>
          <w:tcPr>
            <w:tcW w:type="dxa" w:w="2880"/>
          </w:tcPr>
          <w:p>
            <w:r/>
            <w:r>
              <w:rPr>
                <w:rFonts w:ascii="Aptos" w:hAnsi="Aptos"/>
                <w:b w:val="0"/>
                <w:sz w:val="16"/>
              </w:rPr>
              <w:t>Weak positive</w:t>
            </w:r>
          </w:p>
        </w:tc>
      </w:tr>
    </w:tbl>
    <w:p>
      <w:pPr>
        <w:pStyle w:val="Heading1"/>
        <w:spacing w:before="180" w:after="60"/>
      </w:pPr>
      <w:r>
        <w:rPr>
          <w:rFonts w:ascii="Aptos" w:hAnsi="Aptos"/>
          <w:b/>
          <w:sz w:val="26"/>
        </w:rPr>
        <w:t>5. Visualization</w:t>
      </w:r>
    </w:p>
    <w:p>
      <w:pPr>
        <w:spacing w:after="100"/>
      </w:pPr>
      <w:r>
        <w:rPr>
          <w:rFonts w:ascii="Aptos" w:hAnsi="Aptos"/>
          <w:b w:val="0"/>
          <w:i w:val="0"/>
          <w:sz w:val="20"/>
        </w:rPr>
        <w:t>Visualizations make distributions and trends easier to interpret. Scatter plots show substantial variation around fitted lines, demonstrating that no single variable fully explains academic outcomes.</w:t>
      </w:r>
    </w:p>
    <w:p>
      <w:pPr>
        <w:jc w:val="center"/>
      </w:pPr>
      <w:r>
        <w:drawing>
          <wp:inline xmlns:a="http://schemas.openxmlformats.org/drawingml/2006/main" xmlns:pic="http://schemas.openxmlformats.org/drawingml/2006/picture">
            <wp:extent cx="6126480" cy="3413760"/>
            <wp:docPr id="2" name="Picture 2"/>
            <wp:cNvGraphicFramePr>
              <a:graphicFrameLocks noChangeAspect="1"/>
            </wp:cNvGraphicFramePr>
            <a:graphic>
              <a:graphicData uri="http://schemas.openxmlformats.org/drawingml/2006/picture">
                <pic:pic>
                  <pic:nvPicPr>
                    <pic:cNvPr id="0" name="fig2.png"/>
                    <pic:cNvPicPr/>
                  </pic:nvPicPr>
                  <pic:blipFill>
                    <a:blip r:embed="rId19"/>
                    <a:stretch>
                      <a:fillRect/>
                    </a:stretch>
                  </pic:blipFill>
                  <pic:spPr>
                    <a:xfrm>
                      <a:off x="0" y="0"/>
                      <a:ext cx="6126480" cy="3413760"/>
                    </a:xfrm>
                    <a:prstGeom prst="rect"/>
                  </pic:spPr>
                </pic:pic>
              </a:graphicData>
            </a:graphic>
          </wp:inline>
        </w:drawing>
      </w:r>
    </w:p>
    <w:p>
      <w:pPr>
        <w:spacing w:after="100"/>
        <w:jc w:val="center"/>
      </w:pPr>
      <w:r>
        <w:rPr>
          <w:rFonts w:ascii="Aptos" w:hAnsi="Aptos"/>
          <w:b w:val="0"/>
          <w:i/>
          <w:sz w:val="18"/>
        </w:rPr>
        <w:t>Figure 2. Distribution of illustrative final scores</w:t>
      </w:r>
    </w:p>
    <w:p>
      <w:pPr>
        <w:jc w:val="center"/>
      </w:pPr>
      <w:r>
        <w:drawing>
          <wp:inline xmlns:a="http://schemas.openxmlformats.org/drawingml/2006/main" xmlns:pic="http://schemas.openxmlformats.org/drawingml/2006/picture">
            <wp:extent cx="6126480" cy="3413760"/>
            <wp:docPr id="3" name="Picture 3"/>
            <wp:cNvGraphicFramePr>
              <a:graphicFrameLocks noChangeAspect="1"/>
            </wp:cNvGraphicFramePr>
            <a:graphic>
              <a:graphicData uri="http://schemas.openxmlformats.org/drawingml/2006/picture">
                <pic:pic>
                  <pic:nvPicPr>
                    <pic:cNvPr id="0" name="fig3.png"/>
                    <pic:cNvPicPr/>
                  </pic:nvPicPr>
                  <pic:blipFill>
                    <a:blip r:embed="rId20"/>
                    <a:stretch>
                      <a:fillRect/>
                    </a:stretch>
                  </pic:blipFill>
                  <pic:spPr>
                    <a:xfrm>
                      <a:off x="0" y="0"/>
                      <a:ext cx="6126480" cy="3413760"/>
                    </a:xfrm>
                    <a:prstGeom prst="rect"/>
                  </pic:spPr>
                </pic:pic>
              </a:graphicData>
            </a:graphic>
          </wp:inline>
        </w:drawing>
      </w:r>
    </w:p>
    <w:p>
      <w:pPr>
        <w:spacing w:after="100"/>
        <w:jc w:val="center"/>
      </w:pPr>
      <w:r>
        <w:rPr>
          <w:rFonts w:ascii="Aptos" w:hAnsi="Aptos"/>
          <w:b w:val="0"/>
          <w:i/>
          <w:sz w:val="18"/>
        </w:rPr>
        <w:t>Figure 3. Final score versus study hours with fitted regression line</w:t>
      </w:r>
    </w:p>
    <w:p>
      <w:pPr>
        <w:jc w:val="center"/>
      </w:pPr>
      <w:r>
        <w:drawing>
          <wp:inline xmlns:a="http://schemas.openxmlformats.org/drawingml/2006/main" xmlns:pic="http://schemas.openxmlformats.org/drawingml/2006/picture">
            <wp:extent cx="6126480" cy="3413760"/>
            <wp:docPr id="4" name="Picture 4"/>
            <wp:cNvGraphicFramePr>
              <a:graphicFrameLocks noChangeAspect="1"/>
            </wp:cNvGraphicFramePr>
            <a:graphic>
              <a:graphicData uri="http://schemas.openxmlformats.org/drawingml/2006/picture">
                <pic:pic>
                  <pic:nvPicPr>
                    <pic:cNvPr id="0" name="fig4.png"/>
                    <pic:cNvPicPr/>
                  </pic:nvPicPr>
                  <pic:blipFill>
                    <a:blip r:embed="rId21"/>
                    <a:stretch>
                      <a:fillRect/>
                    </a:stretch>
                  </pic:blipFill>
                  <pic:spPr>
                    <a:xfrm>
                      <a:off x="0" y="0"/>
                      <a:ext cx="6126480" cy="3413760"/>
                    </a:xfrm>
                    <a:prstGeom prst="rect"/>
                  </pic:spPr>
                </pic:pic>
              </a:graphicData>
            </a:graphic>
          </wp:inline>
        </w:drawing>
      </w:r>
    </w:p>
    <w:p>
      <w:pPr>
        <w:spacing w:after="100"/>
        <w:jc w:val="center"/>
      </w:pPr>
      <w:r>
        <w:rPr>
          <w:rFonts w:ascii="Aptos" w:hAnsi="Aptos"/>
          <w:b w:val="0"/>
          <w:i/>
          <w:sz w:val="18"/>
        </w:rPr>
        <w:t>Figure 4. Final score versus attendance</w:t>
      </w:r>
    </w:p>
    <w:p>
      <w:pPr>
        <w:jc w:val="center"/>
      </w:pPr>
      <w:r>
        <w:drawing>
          <wp:inline xmlns:a="http://schemas.openxmlformats.org/drawingml/2006/main" xmlns:pic="http://schemas.openxmlformats.org/drawingml/2006/picture">
            <wp:extent cx="6126480" cy="3413760"/>
            <wp:docPr id="5" name="Picture 5"/>
            <wp:cNvGraphicFramePr>
              <a:graphicFrameLocks noChangeAspect="1"/>
            </wp:cNvGraphicFramePr>
            <a:graphic>
              <a:graphicData uri="http://schemas.openxmlformats.org/drawingml/2006/picture">
                <pic:pic>
                  <pic:nvPicPr>
                    <pic:cNvPr id="0" name="fig5.png"/>
                    <pic:cNvPicPr/>
                  </pic:nvPicPr>
                  <pic:blipFill>
                    <a:blip r:embed="rId22"/>
                    <a:stretch>
                      <a:fillRect/>
                    </a:stretch>
                  </pic:blipFill>
                  <pic:spPr>
                    <a:xfrm>
                      <a:off x="0" y="0"/>
                      <a:ext cx="6126480" cy="3413760"/>
                    </a:xfrm>
                    <a:prstGeom prst="rect"/>
                  </pic:spPr>
                </pic:pic>
              </a:graphicData>
            </a:graphic>
          </wp:inline>
        </w:drawing>
      </w:r>
    </w:p>
    <w:p>
      <w:pPr>
        <w:spacing w:after="100"/>
        <w:jc w:val="center"/>
      </w:pPr>
      <w:r>
        <w:rPr>
          <w:rFonts w:ascii="Aptos" w:hAnsi="Aptos"/>
          <w:b w:val="0"/>
          <w:i/>
          <w:sz w:val="18"/>
        </w:rPr>
        <w:t>Figure 5. Mean final score by attendance group</w:t>
      </w:r>
    </w:p>
    <w:p>
      <w:pPr>
        <w:pStyle w:val="Heading1"/>
        <w:spacing w:before="180" w:after="60"/>
      </w:pPr>
      <w:r>
        <w:rPr>
          <w:rFonts w:ascii="Aptos" w:hAnsi="Aptos"/>
          <w:b/>
          <w:sz w:val="26"/>
        </w:rPr>
        <w:t>6. Regression Analysis</w:t>
      </w:r>
    </w:p>
    <w:p>
      <w:pPr>
        <w:pStyle w:val="Heading2"/>
        <w:spacing w:before="180" w:after="60"/>
      </w:pPr>
      <w:r>
        <w:rPr>
          <w:rFonts w:ascii="Aptos" w:hAnsi="Aptos"/>
          <w:b/>
          <w:sz w:val="22"/>
        </w:rPr>
        <w:t>6.1 Simple Linear Regression</w:t>
      </w:r>
    </w:p>
    <w:p>
      <w:pPr>
        <w:spacing w:after="100"/>
      </w:pPr>
      <w:r>
        <w:rPr>
          <w:rFonts w:ascii="Aptos" w:hAnsi="Aptos"/>
          <w:b w:val="0"/>
          <w:i w:val="0"/>
          <w:sz w:val="20"/>
        </w:rPr>
        <w:t>The simple OLS model is: Final Score = 42.1 + 4.78(Study Hours). The model has R-squared = 0.46 and adjusted R-squared = 0.45. The study-hours slope is statistically significant (p &lt; 0.001).</w:t>
      </w:r>
    </w:p>
    <w:tbl>
      <w:tblPr>
        <w:tblStyle w:val="TableGrid"/>
        <w:tblW w:type="auto" w:w="0"/>
        <w:jc w:val="left"/>
        <w:tblLayout w:type="fixed"/>
        <w:tblLook w:firstColumn="1" w:firstRow="1" w:lastColumn="0" w:lastRow="0" w:noHBand="0" w:noVBand="1" w:val="04A0"/>
      </w:tblPr>
      <w:tblGrid>
        <w:gridCol w:w="2016"/>
        <w:gridCol w:w="2016"/>
        <w:gridCol w:w="2016"/>
        <w:gridCol w:w="2016"/>
        <w:gridCol w:w="2016"/>
      </w:tblGrid>
      <w:tr>
        <w:tc>
          <w:tcPr>
            <w:tcW w:type="dxa" w:w="2160"/>
            <w:shd w:fill="D9EAF7"/>
          </w:tcPr>
          <w:p>
            <w:r/>
            <w:r>
              <w:rPr>
                <w:rFonts w:ascii="Aptos" w:hAnsi="Aptos"/>
                <w:b/>
                <w:sz w:val="16"/>
              </w:rPr>
              <w:t>Term</w:t>
            </w:r>
          </w:p>
        </w:tc>
        <w:tc>
          <w:tcPr>
            <w:tcW w:type="dxa" w:w="1872"/>
            <w:shd w:fill="D9EAF7"/>
          </w:tcPr>
          <w:p>
            <w:r/>
            <w:r>
              <w:rPr>
                <w:rFonts w:ascii="Aptos" w:hAnsi="Aptos"/>
                <w:b/>
                <w:sz w:val="16"/>
              </w:rPr>
              <w:t>Coefficient</w:t>
            </w:r>
          </w:p>
        </w:tc>
        <w:tc>
          <w:tcPr>
            <w:tcW w:type="dxa" w:w="2016"/>
            <w:shd w:fill="D9EAF7"/>
          </w:tcPr>
          <w:p>
            <w:r/>
            <w:r>
              <w:rPr>
                <w:rFonts w:ascii="Aptos" w:hAnsi="Aptos"/>
                <w:b/>
                <w:sz w:val="16"/>
              </w:rPr>
              <w:t>Std. Error</w:t>
            </w:r>
          </w:p>
        </w:tc>
        <w:tc>
          <w:tcPr>
            <w:tcW w:type="dxa" w:w="1728"/>
            <w:shd w:fill="D9EAF7"/>
          </w:tcPr>
          <w:p>
            <w:r/>
            <w:r>
              <w:rPr>
                <w:rFonts w:ascii="Aptos" w:hAnsi="Aptos"/>
                <w:b/>
                <w:sz w:val="16"/>
              </w:rPr>
              <w:t>t</w:t>
            </w:r>
          </w:p>
        </w:tc>
        <w:tc>
          <w:tcPr>
            <w:tcW w:type="dxa" w:w="1872"/>
            <w:shd w:fill="D9EAF7"/>
          </w:tcPr>
          <w:p>
            <w:r/>
            <w:r>
              <w:rPr>
                <w:rFonts w:ascii="Aptos" w:hAnsi="Aptos"/>
                <w:b/>
                <w:sz w:val="16"/>
              </w:rPr>
              <w:t>p-value</w:t>
            </w:r>
          </w:p>
        </w:tc>
      </w:tr>
      <w:tr>
        <w:tc>
          <w:tcPr>
            <w:tcW w:type="dxa" w:w="2160"/>
          </w:tcPr>
          <w:p>
            <w:r/>
            <w:r>
              <w:rPr>
                <w:rFonts w:ascii="Aptos" w:hAnsi="Aptos"/>
                <w:b w:val="0"/>
                <w:sz w:val="16"/>
              </w:rPr>
              <w:t>Intercept</w:t>
            </w:r>
          </w:p>
        </w:tc>
        <w:tc>
          <w:tcPr>
            <w:tcW w:type="dxa" w:w="1872"/>
          </w:tcPr>
          <w:p>
            <w:r/>
            <w:r>
              <w:rPr>
                <w:rFonts w:ascii="Aptos" w:hAnsi="Aptos"/>
                <w:b w:val="0"/>
                <w:sz w:val="16"/>
              </w:rPr>
              <w:t>42.10</w:t>
            </w:r>
          </w:p>
        </w:tc>
        <w:tc>
          <w:tcPr>
            <w:tcW w:type="dxa" w:w="2016"/>
          </w:tcPr>
          <w:p>
            <w:r/>
            <w:r>
              <w:rPr>
                <w:rFonts w:ascii="Aptos" w:hAnsi="Aptos"/>
                <w:b w:val="0"/>
                <w:sz w:val="16"/>
              </w:rPr>
              <w:t>3.82</w:t>
            </w:r>
          </w:p>
        </w:tc>
        <w:tc>
          <w:tcPr>
            <w:tcW w:type="dxa" w:w="1728"/>
          </w:tcPr>
          <w:p>
            <w:r/>
            <w:r>
              <w:rPr>
                <w:rFonts w:ascii="Aptos" w:hAnsi="Aptos"/>
                <w:b w:val="0"/>
                <w:sz w:val="16"/>
              </w:rPr>
              <w:t>11.02</w:t>
            </w:r>
          </w:p>
        </w:tc>
        <w:tc>
          <w:tcPr>
            <w:tcW w:type="dxa" w:w="1872"/>
          </w:tcPr>
          <w:p>
            <w:r/>
            <w:r>
              <w:rPr>
                <w:rFonts w:ascii="Aptos" w:hAnsi="Aptos"/>
                <w:b w:val="0"/>
                <w:sz w:val="16"/>
              </w:rPr>
              <w:t>&lt;0.001</w:t>
            </w:r>
          </w:p>
        </w:tc>
      </w:tr>
      <w:tr>
        <w:tc>
          <w:tcPr>
            <w:tcW w:type="dxa" w:w="2160"/>
          </w:tcPr>
          <w:p>
            <w:r/>
            <w:r>
              <w:rPr>
                <w:rFonts w:ascii="Aptos" w:hAnsi="Aptos"/>
                <w:b w:val="0"/>
                <w:sz w:val="16"/>
              </w:rPr>
              <w:t>Study hours</w:t>
            </w:r>
          </w:p>
        </w:tc>
        <w:tc>
          <w:tcPr>
            <w:tcW w:type="dxa" w:w="1872"/>
          </w:tcPr>
          <w:p>
            <w:r/>
            <w:r>
              <w:rPr>
                <w:rFonts w:ascii="Aptos" w:hAnsi="Aptos"/>
                <w:b w:val="0"/>
                <w:sz w:val="16"/>
              </w:rPr>
              <w:t>4.78</w:t>
            </w:r>
          </w:p>
        </w:tc>
        <w:tc>
          <w:tcPr>
            <w:tcW w:type="dxa" w:w="2016"/>
          </w:tcPr>
          <w:p>
            <w:r/>
            <w:r>
              <w:rPr>
                <w:rFonts w:ascii="Aptos" w:hAnsi="Aptos"/>
                <w:b w:val="0"/>
                <w:sz w:val="16"/>
              </w:rPr>
              <w:t>0.52</w:t>
            </w:r>
          </w:p>
        </w:tc>
        <w:tc>
          <w:tcPr>
            <w:tcW w:type="dxa" w:w="1728"/>
          </w:tcPr>
          <w:p>
            <w:r/>
            <w:r>
              <w:rPr>
                <w:rFonts w:ascii="Aptos" w:hAnsi="Aptos"/>
                <w:b w:val="0"/>
                <w:sz w:val="16"/>
              </w:rPr>
              <w:t>9.19</w:t>
            </w:r>
          </w:p>
        </w:tc>
        <w:tc>
          <w:tcPr>
            <w:tcW w:type="dxa" w:w="1872"/>
          </w:tcPr>
          <w:p>
            <w:r/>
            <w:r>
              <w:rPr>
                <w:rFonts w:ascii="Aptos" w:hAnsi="Aptos"/>
                <w:b w:val="0"/>
                <w:sz w:val="16"/>
              </w:rPr>
              <w:t>&lt;0.001</w:t>
            </w:r>
          </w:p>
        </w:tc>
      </w:tr>
    </w:tbl>
    <w:p>
      <w:pPr>
        <w:jc w:val="center"/>
      </w:pPr>
      <w:r>
        <w:drawing>
          <wp:inline xmlns:a="http://schemas.openxmlformats.org/drawingml/2006/main" xmlns:pic="http://schemas.openxmlformats.org/drawingml/2006/picture">
            <wp:extent cx="6126480" cy="3413760"/>
            <wp:docPr id="6" name="Picture 6"/>
            <wp:cNvGraphicFramePr>
              <a:graphicFrameLocks noChangeAspect="1"/>
            </wp:cNvGraphicFramePr>
            <a:graphic>
              <a:graphicData uri="http://schemas.openxmlformats.org/drawingml/2006/picture">
                <pic:pic>
                  <pic:nvPicPr>
                    <pic:cNvPr id="0" name="fig6.png"/>
                    <pic:cNvPicPr/>
                  </pic:nvPicPr>
                  <pic:blipFill>
                    <a:blip r:embed="rId23"/>
                    <a:stretch>
                      <a:fillRect/>
                    </a:stretch>
                  </pic:blipFill>
                  <pic:spPr>
                    <a:xfrm>
                      <a:off x="0" y="0"/>
                      <a:ext cx="6126480" cy="3413760"/>
                    </a:xfrm>
                    <a:prstGeom prst="rect"/>
                  </pic:spPr>
                </pic:pic>
              </a:graphicData>
            </a:graphic>
          </wp:inline>
        </w:drawing>
      </w:r>
    </w:p>
    <w:p>
      <w:pPr>
        <w:spacing w:after="100"/>
        <w:jc w:val="center"/>
      </w:pPr>
      <w:r>
        <w:rPr>
          <w:rFonts w:ascii="Aptos" w:hAnsi="Aptos"/>
          <w:b w:val="0"/>
          <w:i/>
          <w:sz w:val="18"/>
        </w:rPr>
        <w:t>Figure 6. Actual versus predicted final score for the simple regression</w:t>
      </w:r>
    </w:p>
    <w:p>
      <w:pPr>
        <w:spacing w:after="100"/>
      </w:pPr>
      <w:r>
        <w:rPr>
          <w:rFonts w:ascii="Aptos" w:hAnsi="Aptos"/>
          <w:b w:val="0"/>
          <w:i w:val="0"/>
          <w:sz w:val="20"/>
        </w:rPr>
        <w:t>Interpretation: in this illustrative sample, each additional weekly study hour is associated with an average 4.78-point increase in final score. This must not be interpreted as a guaranteed causal effect because motivation, teaching quality, prior preparation, health and family circumstances can influence both study time and outcomes.</w:t>
      </w:r>
    </w:p>
    <w:p>
      <w:pPr>
        <w:pStyle w:val="Heading2"/>
        <w:spacing w:before="180" w:after="60"/>
      </w:pPr>
      <w:r>
        <w:rPr>
          <w:rFonts w:ascii="Aptos" w:hAnsi="Aptos"/>
          <w:b/>
          <w:sz w:val="22"/>
        </w:rPr>
        <w:t>6.2 Multiple Regression Robustness Check</w:t>
      </w:r>
    </w:p>
    <w:p>
      <w:pPr>
        <w:spacing w:after="100"/>
      </w:pPr>
      <w:r>
        <w:rPr>
          <w:rFonts w:ascii="Aptos" w:hAnsi="Aptos"/>
          <w:b w:val="0"/>
          <w:i w:val="0"/>
          <w:sz w:val="20"/>
        </w:rPr>
        <w:t>A multiple regression including study hours, attendance, previous score, sleep and assignment completion achieved R-squared = 0.63. Study hours and attendance remain useful predictors, but multivariable results should be interpreted carefully because academic variables may be related to one another.</w:t>
      </w:r>
    </w:p>
    <w:p>
      <w:pPr>
        <w:pStyle w:val="Heading1"/>
        <w:spacing w:before="180" w:after="60"/>
      </w:pPr>
      <w:r>
        <w:rPr>
          <w:rFonts w:ascii="Aptos" w:hAnsi="Aptos"/>
          <w:b/>
          <w:sz w:val="26"/>
        </w:rPr>
        <w:t>7. Hypothesis Testing</w:t>
      </w:r>
    </w:p>
    <w:p>
      <w:pPr>
        <w:pStyle w:val="Heading2"/>
        <w:spacing w:before="180" w:after="60"/>
      </w:pPr>
      <w:r>
        <w:rPr>
          <w:rFonts w:ascii="Aptos" w:hAnsi="Aptos"/>
          <w:b/>
          <w:sz w:val="22"/>
        </w:rPr>
        <w:t>7.1 Attendance Group Comparison</w:t>
      </w:r>
    </w:p>
    <w:p>
      <w:pPr>
        <w:spacing w:after="100"/>
      </w:pPr>
      <w:r>
        <w:rPr>
          <w:rFonts w:ascii="Aptos" w:hAnsi="Aptos"/>
          <w:b w:val="0"/>
          <w:i w:val="0"/>
          <w:sz w:val="20"/>
        </w:rPr>
        <w:t>Question: Do students with attendance of 90% or above have a different mean final score from students below 90%? H0: the population mean scores are equal. H1: the population mean scores differ.</w:t>
      </w:r>
    </w:p>
    <w:tbl>
      <w:tblPr>
        <w:tblStyle w:val="TableGrid"/>
        <w:tblW w:type="auto" w:w="0"/>
        <w:jc w:val="left"/>
        <w:tblLayout w:type="fixed"/>
        <w:tblLook w:firstColumn="1" w:firstRow="1" w:lastColumn="0" w:lastRow="0" w:noHBand="0" w:noVBand="1" w:val="04A0"/>
      </w:tblPr>
      <w:tblGrid>
        <w:gridCol w:w="3360"/>
        <w:gridCol w:w="3360"/>
        <w:gridCol w:w="3360"/>
      </w:tblGrid>
      <w:tr>
        <w:tc>
          <w:tcPr>
            <w:tcW w:type="dxa" w:w="3744"/>
            <w:shd w:fill="D9EAF7"/>
          </w:tcPr>
          <w:p>
            <w:r/>
            <w:r>
              <w:rPr>
                <w:rFonts w:ascii="Aptos" w:hAnsi="Aptos"/>
                <w:b/>
                <w:sz w:val="16"/>
              </w:rPr>
              <w:t>Group</w:t>
            </w:r>
          </w:p>
        </w:tc>
        <w:tc>
          <w:tcPr>
            <w:tcW w:type="dxa" w:w="1872"/>
            <w:shd w:fill="D9EAF7"/>
          </w:tcPr>
          <w:p>
            <w:r/>
            <w:r>
              <w:rPr>
                <w:rFonts w:ascii="Aptos" w:hAnsi="Aptos"/>
                <w:b/>
                <w:sz w:val="16"/>
              </w:rPr>
              <w:t>n</w:t>
            </w:r>
          </w:p>
        </w:tc>
        <w:tc>
          <w:tcPr>
            <w:tcW w:type="dxa" w:w="3744"/>
            <w:shd w:fill="D9EAF7"/>
          </w:tcPr>
          <w:p>
            <w:r/>
            <w:r>
              <w:rPr>
                <w:rFonts w:ascii="Aptos" w:hAnsi="Aptos"/>
                <w:b/>
                <w:sz w:val="16"/>
              </w:rPr>
              <w:t>Mean Final Score</w:t>
            </w:r>
          </w:p>
        </w:tc>
      </w:tr>
      <w:tr>
        <w:tc>
          <w:tcPr>
            <w:tcW w:type="dxa" w:w="3744"/>
          </w:tcPr>
          <w:p>
            <w:r/>
            <w:r>
              <w:rPr>
                <w:rFonts w:ascii="Aptos" w:hAnsi="Aptos"/>
                <w:b w:val="0"/>
                <w:sz w:val="16"/>
              </w:rPr>
              <w:t>Attendance &gt;= 90%</w:t>
            </w:r>
          </w:p>
        </w:tc>
        <w:tc>
          <w:tcPr>
            <w:tcW w:type="dxa" w:w="1872"/>
          </w:tcPr>
          <w:p>
            <w:r/>
            <w:r>
              <w:rPr>
                <w:rFonts w:ascii="Aptos" w:hAnsi="Aptos"/>
                <w:b w:val="0"/>
                <w:sz w:val="16"/>
              </w:rPr>
              <w:t>22</w:t>
            </w:r>
          </w:p>
        </w:tc>
        <w:tc>
          <w:tcPr>
            <w:tcW w:type="dxa" w:w="3744"/>
          </w:tcPr>
          <w:p>
            <w:r/>
            <w:r>
              <w:rPr>
                <w:rFonts w:ascii="Aptos" w:hAnsi="Aptos"/>
                <w:b w:val="0"/>
                <w:sz w:val="16"/>
              </w:rPr>
              <w:t>82.4</w:t>
            </w:r>
          </w:p>
        </w:tc>
      </w:tr>
      <w:tr>
        <w:tc>
          <w:tcPr>
            <w:tcW w:type="dxa" w:w="3744"/>
          </w:tcPr>
          <w:p>
            <w:r/>
            <w:r>
              <w:rPr>
                <w:rFonts w:ascii="Aptos" w:hAnsi="Aptos"/>
                <w:b w:val="0"/>
                <w:sz w:val="16"/>
              </w:rPr>
              <w:t>Attendance &lt; 90%</w:t>
            </w:r>
          </w:p>
        </w:tc>
        <w:tc>
          <w:tcPr>
            <w:tcW w:type="dxa" w:w="1872"/>
          </w:tcPr>
          <w:p>
            <w:r/>
            <w:r>
              <w:rPr>
                <w:rFonts w:ascii="Aptos" w:hAnsi="Aptos"/>
                <w:b w:val="0"/>
                <w:sz w:val="16"/>
              </w:rPr>
              <w:t>38</w:t>
            </w:r>
          </w:p>
        </w:tc>
        <w:tc>
          <w:tcPr>
            <w:tcW w:type="dxa" w:w="3744"/>
          </w:tcPr>
          <w:p>
            <w:r/>
            <w:r>
              <w:rPr>
                <w:rFonts w:ascii="Aptos" w:hAnsi="Aptos"/>
                <w:b w:val="0"/>
                <w:sz w:val="16"/>
              </w:rPr>
              <w:t>67.9</w:t>
            </w:r>
          </w:p>
        </w:tc>
      </w:tr>
    </w:tbl>
    <w:p>
      <w:pPr>
        <w:spacing w:after="100"/>
      </w:pPr>
      <w:r>
        <w:rPr>
          <w:rFonts w:ascii="Aptos" w:hAnsi="Aptos"/>
          <w:b w:val="0"/>
          <w:i w:val="0"/>
          <w:sz w:val="20"/>
        </w:rPr>
        <w:t>Welch t-test result: t = 3.18, df = 40.6, p = 0.003. Since p &lt; 0.05, H0 is rejected. The illustrative sample provides evidence of different mean scores between the attendance groups.</w:t>
      </w:r>
    </w:p>
    <w:p>
      <w:pPr>
        <w:pStyle w:val="Heading1"/>
        <w:spacing w:before="180" w:after="60"/>
      </w:pPr>
      <w:r>
        <w:rPr>
          <w:rFonts w:ascii="Aptos" w:hAnsi="Aptos"/>
          <w:b/>
          <w:sz w:val="26"/>
        </w:rPr>
        <w:t>8. Results and Interpretation</w:t>
      </w:r>
    </w:p>
    <w:p>
      <w:pPr>
        <w:jc w:val="center"/>
      </w:pPr>
      <w:r>
        <w:drawing>
          <wp:inline xmlns:a="http://schemas.openxmlformats.org/drawingml/2006/main" xmlns:pic="http://schemas.openxmlformats.org/drawingml/2006/picture">
            <wp:extent cx="6126480" cy="3413760"/>
            <wp:docPr id="7" name="Picture 7"/>
            <wp:cNvGraphicFramePr>
              <a:graphicFrameLocks noChangeAspect="1"/>
            </wp:cNvGraphicFramePr>
            <a:graphic>
              <a:graphicData uri="http://schemas.openxmlformats.org/drawingml/2006/picture">
                <pic:pic>
                  <pic:nvPicPr>
                    <pic:cNvPr id="0" name="fig7.png"/>
                    <pic:cNvPicPr/>
                  </pic:nvPicPr>
                  <pic:blipFill>
                    <a:blip r:embed="rId24"/>
                    <a:stretch>
                      <a:fillRect/>
                    </a:stretch>
                  </pic:blipFill>
                  <pic:spPr>
                    <a:xfrm>
                      <a:off x="0" y="0"/>
                      <a:ext cx="6126480" cy="3413760"/>
                    </a:xfrm>
                    <a:prstGeom prst="rect"/>
                  </pic:spPr>
                </pic:pic>
              </a:graphicData>
            </a:graphic>
          </wp:inline>
        </w:drawing>
      </w:r>
    </w:p>
    <w:p>
      <w:pPr>
        <w:spacing w:after="100"/>
        <w:jc w:val="center"/>
      </w:pPr>
      <w:r>
        <w:rPr>
          <w:rFonts w:ascii="Aptos" w:hAnsi="Aptos"/>
          <w:b w:val="0"/>
          <w:i/>
          <w:sz w:val="18"/>
        </w:rPr>
        <w:t>Figure 7. Average final score by study-hours group</w:t>
      </w:r>
    </w:p>
    <w:tbl>
      <w:tblPr>
        <w:tblStyle w:val="TableGrid"/>
        <w:tblW w:type="auto" w:w="0"/>
        <w:jc w:val="left"/>
        <w:tblLayout w:type="fixed"/>
        <w:tblLook w:firstColumn="1" w:firstRow="1" w:lastColumn="0" w:lastRow="0" w:noHBand="0" w:noVBand="1" w:val="04A0"/>
      </w:tblPr>
      <w:tblGrid>
        <w:gridCol w:w="3360"/>
        <w:gridCol w:w="3360"/>
        <w:gridCol w:w="3360"/>
      </w:tblGrid>
      <w:tr>
        <w:tc>
          <w:tcPr>
            <w:tcW w:type="dxa" w:w="3168"/>
            <w:shd w:fill="D9EAF7"/>
          </w:tcPr>
          <w:p>
            <w:r/>
            <w:r>
              <w:rPr>
                <w:rFonts w:ascii="Aptos" w:hAnsi="Aptos"/>
                <w:b/>
                <w:sz w:val="16"/>
              </w:rPr>
              <w:t>Finding</w:t>
            </w:r>
          </w:p>
        </w:tc>
        <w:tc>
          <w:tcPr>
            <w:tcW w:type="dxa" w:w="3168"/>
            <w:shd w:fill="D9EAF7"/>
          </w:tcPr>
          <w:p>
            <w:r/>
            <w:r>
              <w:rPr>
                <w:rFonts w:ascii="Aptos" w:hAnsi="Aptos"/>
                <w:b/>
                <w:sz w:val="16"/>
              </w:rPr>
              <w:t>Evidence</w:t>
            </w:r>
          </w:p>
        </w:tc>
        <w:tc>
          <w:tcPr>
            <w:tcW w:type="dxa" w:w="3024"/>
            <w:shd w:fill="D9EAF7"/>
          </w:tcPr>
          <w:p>
            <w:r/>
            <w:r>
              <w:rPr>
                <w:rFonts w:ascii="Aptos" w:hAnsi="Aptos"/>
                <w:b/>
                <w:sz w:val="16"/>
              </w:rPr>
              <w:t>Interpretation</w:t>
            </w:r>
          </w:p>
        </w:tc>
      </w:tr>
      <w:tr>
        <w:tc>
          <w:tcPr>
            <w:tcW w:type="dxa" w:w="3168"/>
          </w:tcPr>
          <w:p>
            <w:r/>
            <w:r>
              <w:rPr>
                <w:rFonts w:ascii="Aptos" w:hAnsi="Aptos"/>
                <w:b w:val="0"/>
                <w:sz w:val="16"/>
              </w:rPr>
              <w:t>Study hours are strongest correlate</w:t>
            </w:r>
          </w:p>
        </w:tc>
        <w:tc>
          <w:tcPr>
            <w:tcW w:type="dxa" w:w="3168"/>
          </w:tcPr>
          <w:p>
            <w:r/>
            <w:r>
              <w:rPr>
                <w:rFonts w:ascii="Aptos" w:hAnsi="Aptos"/>
                <w:b w:val="0"/>
                <w:sz w:val="16"/>
              </w:rPr>
              <w:t>r = 0.68; simple R-squared = 0.46</w:t>
            </w:r>
          </w:p>
        </w:tc>
        <w:tc>
          <w:tcPr>
            <w:tcW w:type="dxa" w:w="3024"/>
          </w:tcPr>
          <w:p>
            <w:r/>
            <w:r>
              <w:rPr>
                <w:rFonts w:ascii="Aptos" w:hAnsi="Aptos"/>
                <w:b w:val="0"/>
                <w:sz w:val="16"/>
              </w:rPr>
              <w:t>More study time is associated with higher scores.</w:t>
            </w:r>
          </w:p>
        </w:tc>
      </w:tr>
      <w:tr>
        <w:tc>
          <w:tcPr>
            <w:tcW w:type="dxa" w:w="3168"/>
          </w:tcPr>
          <w:p>
            <w:r/>
            <w:r>
              <w:rPr>
                <w:rFonts w:ascii="Aptos" w:hAnsi="Aptos"/>
                <w:b w:val="0"/>
                <w:sz w:val="16"/>
              </w:rPr>
              <w:t>High attendance group scores higher</w:t>
            </w:r>
          </w:p>
        </w:tc>
        <w:tc>
          <w:tcPr>
            <w:tcW w:type="dxa" w:w="3168"/>
          </w:tcPr>
          <w:p>
            <w:r/>
            <w:r>
              <w:rPr>
                <w:rFonts w:ascii="Aptos" w:hAnsi="Aptos"/>
                <w:b w:val="0"/>
                <w:sz w:val="16"/>
              </w:rPr>
              <w:t>82.4 vs 67.9; p = 0.003</w:t>
            </w:r>
          </w:p>
        </w:tc>
        <w:tc>
          <w:tcPr>
            <w:tcW w:type="dxa" w:w="3024"/>
          </w:tcPr>
          <w:p>
            <w:r/>
            <w:r>
              <w:rPr>
                <w:rFonts w:ascii="Aptos" w:hAnsi="Aptos"/>
                <w:b w:val="0"/>
                <w:sz w:val="16"/>
              </w:rPr>
              <w:t>Attendance may signal access and engagement.</w:t>
            </w:r>
          </w:p>
        </w:tc>
      </w:tr>
      <w:tr>
        <w:tc>
          <w:tcPr>
            <w:tcW w:type="dxa" w:w="3168"/>
          </w:tcPr>
          <w:p>
            <w:r/>
            <w:r>
              <w:rPr>
                <w:rFonts w:ascii="Aptos" w:hAnsi="Aptos"/>
                <w:b w:val="0"/>
                <w:sz w:val="16"/>
              </w:rPr>
              <w:t>Previous score is informative</w:t>
            </w:r>
          </w:p>
        </w:tc>
        <w:tc>
          <w:tcPr>
            <w:tcW w:type="dxa" w:w="3168"/>
          </w:tcPr>
          <w:p>
            <w:r/>
            <w:r>
              <w:rPr>
                <w:rFonts w:ascii="Aptos" w:hAnsi="Aptos"/>
                <w:b w:val="0"/>
                <w:sz w:val="16"/>
              </w:rPr>
              <w:t>r = 0.47</w:t>
            </w:r>
          </w:p>
        </w:tc>
        <w:tc>
          <w:tcPr>
            <w:tcW w:type="dxa" w:w="3024"/>
          </w:tcPr>
          <w:p>
            <w:r/>
            <w:r>
              <w:rPr>
                <w:rFonts w:ascii="Aptos" w:hAnsi="Aptos"/>
                <w:b w:val="0"/>
                <w:sz w:val="16"/>
              </w:rPr>
              <w:t>Prior preparation remains relevant.</w:t>
            </w:r>
          </w:p>
        </w:tc>
      </w:tr>
      <w:tr>
        <w:tc>
          <w:tcPr>
            <w:tcW w:type="dxa" w:w="3168"/>
          </w:tcPr>
          <w:p>
            <w:r/>
            <w:r>
              <w:rPr>
                <w:rFonts w:ascii="Aptos" w:hAnsi="Aptos"/>
                <w:b w:val="0"/>
                <w:sz w:val="16"/>
              </w:rPr>
              <w:t>Sleep is weak single correlate</w:t>
            </w:r>
          </w:p>
        </w:tc>
        <w:tc>
          <w:tcPr>
            <w:tcW w:type="dxa" w:w="3168"/>
          </w:tcPr>
          <w:p>
            <w:r/>
            <w:r>
              <w:rPr>
                <w:rFonts w:ascii="Aptos" w:hAnsi="Aptos"/>
                <w:b w:val="0"/>
                <w:sz w:val="16"/>
              </w:rPr>
              <w:t>r = 0.18</w:t>
            </w:r>
          </w:p>
        </w:tc>
        <w:tc>
          <w:tcPr>
            <w:tcW w:type="dxa" w:w="3024"/>
          </w:tcPr>
          <w:p>
            <w:r/>
            <w:r>
              <w:rPr>
                <w:rFonts w:ascii="Aptos" w:hAnsi="Aptos"/>
                <w:b w:val="0"/>
                <w:sz w:val="16"/>
              </w:rPr>
              <w:t>One variable alone is insufficient.</w:t>
            </w:r>
          </w:p>
        </w:tc>
      </w:tr>
    </w:tbl>
    <w:p>
      <w:pPr>
        <w:spacing w:after="100"/>
      </w:pPr>
      <w:r>
        <w:rPr>
          <w:rFonts w:ascii="Aptos" w:hAnsi="Aptos"/>
          <w:b w:val="0"/>
          <w:i w:val="0"/>
          <w:sz w:val="20"/>
        </w:rPr>
        <w:t>Ethical interpretation is essential. Statistical patterns should guide supportive actions such as tutoring, attendance outreach and resource access. They should not be used to stigmatize students, overlook structural barriers, or replace teacher judgment.</w:t>
      </w:r>
    </w:p>
    <w:p>
      <w:pPr>
        <w:pStyle w:val="Heading1"/>
        <w:spacing w:before="180" w:after="60"/>
      </w:pPr>
      <w:r>
        <w:rPr>
          <w:rFonts w:ascii="Aptos" w:hAnsi="Aptos"/>
          <w:b/>
          <w:sz w:val="26"/>
        </w:rPr>
        <w:t>9. Conclusion</w:t>
      </w:r>
    </w:p>
    <w:p>
      <w:pPr>
        <w:spacing w:after="100"/>
      </w:pPr>
      <w:r>
        <w:rPr>
          <w:rFonts w:ascii="Aptos" w:hAnsi="Aptos"/>
          <w:b w:val="0"/>
          <w:i w:val="0"/>
          <w:sz w:val="20"/>
        </w:rPr>
        <w:t>The Student Performance Analysis demonstrates how descriptive statistics, correlation, visualization, regression and hypothesis testing can be combined in an academic analytics project. Study hours, attendance and previous score are positively associated with final score in the illustrative dataset. The analysis is most valuable when used to identify opportunities for supportive intervention and continuous improvement.</w:t>
      </w:r>
    </w:p>
    <w:p>
      <w:pPr>
        <w:pStyle w:val="Heading1"/>
        <w:spacing w:before="180" w:after="60"/>
      </w:pPr>
      <w:r>
        <w:rPr>
          <w:rFonts w:ascii="Aptos" w:hAnsi="Aptos"/>
          <w:b/>
          <w:sz w:val="26"/>
        </w:rPr>
        <w:t>10. References</w:t>
      </w:r>
    </w:p>
    <w:p>
      <w:pPr>
        <w:pStyle w:val="ListBullet"/>
        <w:spacing w:after="100"/>
      </w:pPr>
      <w:r>
        <w:rPr>
          <w:rFonts w:ascii="Aptos" w:hAnsi="Aptos"/>
          <w:b w:val="0"/>
          <w:i w:val="0"/>
          <w:sz w:val="20"/>
        </w:rPr>
        <w:t>NIST. Privacy Framework and privacy risk-management resources, used as an ethical reference for data minimization and responsible data use. https://www.nist.gov/privacy-framework</w:t>
      </w:r>
    </w:p>
    <w:p>
      <w:pPr>
        <w:pStyle w:val="ListBullet"/>
        <w:spacing w:after="100"/>
      </w:pPr>
      <w:r>
        <w:rPr>
          <w:rFonts w:ascii="Aptos" w:hAnsi="Aptos"/>
          <w:b w:val="0"/>
          <w:i w:val="0"/>
          <w:sz w:val="20"/>
        </w:rPr>
        <w:t>Python scientific computing stack: Pandas, NumPy, Matplotlib, Seaborn, SciPy and Statsmodels.</w:t>
      </w:r>
    </w:p>
    <w:p>
      <w:pPr>
        <w:pStyle w:val="Heading1"/>
        <w:spacing w:before="180" w:after="60"/>
      </w:pPr>
      <w:r>
        <w:rPr>
          <w:rFonts w:ascii="Aptos" w:hAnsi="Aptos"/>
          <w:b/>
          <w:sz w:val="26"/>
        </w:rPr>
        <w:t>Appendix A - Sample Records</w:t>
      </w:r>
    </w:p>
    <w:p>
      <w:pPr>
        <w:spacing w:after="100"/>
      </w:pPr>
      <w:r>
        <w:rPr>
          <w:rFonts w:ascii="Aptos" w:hAnsi="Aptos"/>
          <w:b w:val="0"/>
          <w:i w:val="0"/>
          <w:sz w:val="20"/>
        </w:rPr>
        <w:t>Illustrative excerpt only; no record represents a real student.</w:t>
      </w:r>
    </w:p>
    <w:tbl>
      <w:tblPr>
        <w:tblStyle w:val="TableGrid"/>
        <w:tblW w:type="auto" w:w="0"/>
        <w:jc w:val="left"/>
        <w:tblLayout w:type="fixed"/>
        <w:tblLook w:firstColumn="1" w:firstRow="1" w:lastColumn="0" w:lastRow="0" w:noHBand="0" w:noVBand="1" w:val="04A0"/>
      </w:tblPr>
      <w:tblGrid>
        <w:gridCol w:w="1680"/>
        <w:gridCol w:w="1680"/>
        <w:gridCol w:w="1680"/>
        <w:gridCol w:w="1680"/>
        <w:gridCol w:w="1680"/>
        <w:gridCol w:w="1680"/>
      </w:tblGrid>
      <w:tr>
        <w:tc>
          <w:tcPr>
            <w:tcW w:type="dxa" w:w="1440"/>
            <w:shd w:fill="D9EAF7"/>
          </w:tcPr>
          <w:p>
            <w:r/>
            <w:r>
              <w:rPr>
                <w:rFonts w:ascii="Aptos" w:hAnsi="Aptos"/>
                <w:b/>
                <w:sz w:val="16"/>
              </w:rPr>
              <w:t>Record</w:t>
            </w:r>
          </w:p>
        </w:tc>
        <w:tc>
          <w:tcPr>
            <w:tcW w:type="dxa" w:w="1728"/>
            <w:shd w:fill="D9EAF7"/>
          </w:tcPr>
          <w:p>
            <w:r/>
            <w:r>
              <w:rPr>
                <w:rFonts w:ascii="Aptos" w:hAnsi="Aptos"/>
                <w:b/>
                <w:sz w:val="16"/>
              </w:rPr>
              <w:t>Study Hours</w:t>
            </w:r>
          </w:p>
        </w:tc>
        <w:tc>
          <w:tcPr>
            <w:tcW w:type="dxa" w:w="1872"/>
            <w:shd w:fill="D9EAF7"/>
          </w:tcPr>
          <w:p>
            <w:r/>
            <w:r>
              <w:rPr>
                <w:rFonts w:ascii="Aptos" w:hAnsi="Aptos"/>
                <w:b/>
                <w:sz w:val="16"/>
              </w:rPr>
              <w:t>Attendance</w:t>
            </w:r>
          </w:p>
        </w:tc>
        <w:tc>
          <w:tcPr>
            <w:tcW w:type="dxa" w:w="1728"/>
            <w:shd w:fill="D9EAF7"/>
          </w:tcPr>
          <w:p>
            <w:r/>
            <w:r>
              <w:rPr>
                <w:rFonts w:ascii="Aptos" w:hAnsi="Aptos"/>
                <w:b/>
                <w:sz w:val="16"/>
              </w:rPr>
              <w:t>Previous</w:t>
            </w:r>
          </w:p>
        </w:tc>
        <w:tc>
          <w:tcPr>
            <w:tcW w:type="dxa" w:w="1440"/>
            <w:shd w:fill="D9EAF7"/>
          </w:tcPr>
          <w:p>
            <w:r/>
            <w:r>
              <w:rPr>
                <w:rFonts w:ascii="Aptos" w:hAnsi="Aptos"/>
                <w:b/>
                <w:sz w:val="16"/>
              </w:rPr>
              <w:t>Sleep</w:t>
            </w:r>
          </w:p>
        </w:tc>
        <w:tc>
          <w:tcPr>
            <w:tcW w:type="dxa" w:w="1440"/>
            <w:shd w:fill="D9EAF7"/>
          </w:tcPr>
          <w:p>
            <w:r/>
            <w:r>
              <w:rPr>
                <w:rFonts w:ascii="Aptos" w:hAnsi="Aptos"/>
                <w:b/>
                <w:sz w:val="16"/>
              </w:rPr>
              <w:t>Final</w:t>
            </w:r>
          </w:p>
        </w:tc>
      </w:tr>
      <w:tr>
        <w:tc>
          <w:tcPr>
            <w:tcW w:type="dxa" w:w="1440"/>
          </w:tcPr>
          <w:p>
            <w:r/>
            <w:r>
              <w:rPr>
                <w:rFonts w:ascii="Aptos" w:hAnsi="Aptos"/>
                <w:b w:val="0"/>
                <w:sz w:val="16"/>
              </w:rPr>
              <w:t>S-00</w:t>
            </w:r>
          </w:p>
        </w:tc>
        <w:tc>
          <w:tcPr>
            <w:tcW w:type="dxa" w:w="1728"/>
          </w:tcPr>
          <w:p>
            <w:r/>
            <w:r>
              <w:rPr>
                <w:rFonts w:ascii="Aptos" w:hAnsi="Aptos"/>
                <w:b w:val="0"/>
                <w:sz w:val="16"/>
              </w:rPr>
              <w:t>4.6</w:t>
            </w:r>
          </w:p>
        </w:tc>
        <w:tc>
          <w:tcPr>
            <w:tcW w:type="dxa" w:w="1872"/>
          </w:tcPr>
          <w:p>
            <w:r/>
            <w:r>
              <w:rPr>
                <w:rFonts w:ascii="Aptos" w:hAnsi="Aptos"/>
                <w:b w:val="0"/>
                <w:sz w:val="16"/>
              </w:rPr>
              <w:t>67</w:t>
            </w:r>
          </w:p>
        </w:tc>
        <w:tc>
          <w:tcPr>
            <w:tcW w:type="dxa" w:w="1728"/>
          </w:tcPr>
          <w:p>
            <w:r/>
            <w:r>
              <w:rPr>
                <w:rFonts w:ascii="Aptos" w:hAnsi="Aptos"/>
                <w:b w:val="0"/>
                <w:sz w:val="16"/>
              </w:rPr>
              <w:t>71</w:t>
            </w:r>
          </w:p>
        </w:tc>
        <w:tc>
          <w:tcPr>
            <w:tcW w:type="dxa" w:w="1440"/>
          </w:tcPr>
          <w:p>
            <w:r/>
            <w:r>
              <w:rPr>
                <w:rFonts w:ascii="Aptos" w:hAnsi="Aptos"/>
                <w:b w:val="0"/>
                <w:sz w:val="16"/>
              </w:rPr>
              <w:t>6.0</w:t>
            </w:r>
          </w:p>
        </w:tc>
        <w:tc>
          <w:tcPr>
            <w:tcW w:type="dxa" w:w="1440"/>
          </w:tcPr>
          <w:p>
            <w:r/>
            <w:r>
              <w:rPr>
                <w:rFonts w:ascii="Aptos" w:hAnsi="Aptos"/>
                <w:b w:val="0"/>
                <w:sz w:val="16"/>
              </w:rPr>
              <w:t>71.6</w:t>
            </w:r>
          </w:p>
        </w:tc>
      </w:tr>
      <w:tr>
        <w:tc>
          <w:tcPr>
            <w:tcW w:type="dxa" w:w="1440"/>
          </w:tcPr>
          <w:p>
            <w:r/>
            <w:r>
              <w:rPr>
                <w:rFonts w:ascii="Aptos" w:hAnsi="Aptos"/>
                <w:b w:val="0"/>
                <w:sz w:val="16"/>
              </w:rPr>
              <w:t>S-01</w:t>
            </w:r>
          </w:p>
        </w:tc>
        <w:tc>
          <w:tcPr>
            <w:tcW w:type="dxa" w:w="1728"/>
          </w:tcPr>
          <w:p>
            <w:r/>
            <w:r>
              <w:rPr>
                <w:rFonts w:ascii="Aptos" w:hAnsi="Aptos"/>
                <w:b w:val="0"/>
                <w:sz w:val="16"/>
              </w:rPr>
              <w:t>11.9</w:t>
            </w:r>
          </w:p>
        </w:tc>
        <w:tc>
          <w:tcPr>
            <w:tcW w:type="dxa" w:w="1872"/>
          </w:tcPr>
          <w:p>
            <w:r/>
            <w:r>
              <w:rPr>
                <w:rFonts w:ascii="Aptos" w:hAnsi="Aptos"/>
                <w:b w:val="0"/>
                <w:sz w:val="16"/>
              </w:rPr>
              <w:t>58</w:t>
            </w:r>
          </w:p>
        </w:tc>
        <w:tc>
          <w:tcPr>
            <w:tcW w:type="dxa" w:w="1728"/>
          </w:tcPr>
          <w:p>
            <w:r/>
            <w:r>
              <w:rPr>
                <w:rFonts w:ascii="Aptos" w:hAnsi="Aptos"/>
                <w:b w:val="0"/>
                <w:sz w:val="16"/>
              </w:rPr>
              <w:t>88</w:t>
            </w:r>
          </w:p>
        </w:tc>
        <w:tc>
          <w:tcPr>
            <w:tcW w:type="dxa" w:w="1440"/>
          </w:tcPr>
          <w:p>
            <w:r/>
            <w:r>
              <w:rPr>
                <w:rFonts w:ascii="Aptos" w:hAnsi="Aptos"/>
                <w:b w:val="0"/>
                <w:sz w:val="16"/>
              </w:rPr>
              <w:t>6.4</w:t>
            </w:r>
          </w:p>
        </w:tc>
        <w:tc>
          <w:tcPr>
            <w:tcW w:type="dxa" w:w="1440"/>
          </w:tcPr>
          <w:p>
            <w:r/>
            <w:r>
              <w:rPr>
                <w:rFonts w:ascii="Aptos" w:hAnsi="Aptos"/>
                <w:b w:val="0"/>
                <w:sz w:val="16"/>
              </w:rPr>
              <w:t>98.0</w:t>
            </w:r>
          </w:p>
        </w:tc>
      </w:tr>
      <w:tr>
        <w:tc>
          <w:tcPr>
            <w:tcW w:type="dxa" w:w="1440"/>
          </w:tcPr>
          <w:p>
            <w:r/>
            <w:r>
              <w:rPr>
                <w:rFonts w:ascii="Aptos" w:hAnsi="Aptos"/>
                <w:b w:val="0"/>
                <w:sz w:val="16"/>
              </w:rPr>
              <w:t>S-02</w:t>
            </w:r>
          </w:p>
        </w:tc>
        <w:tc>
          <w:tcPr>
            <w:tcW w:type="dxa" w:w="1728"/>
          </w:tcPr>
          <w:p>
            <w:r/>
            <w:r>
              <w:rPr>
                <w:rFonts w:ascii="Aptos" w:hAnsi="Aptos"/>
                <w:b w:val="0"/>
                <w:sz w:val="16"/>
              </w:rPr>
              <w:t>4.5</w:t>
            </w:r>
          </w:p>
        </w:tc>
        <w:tc>
          <w:tcPr>
            <w:tcW w:type="dxa" w:w="1872"/>
          </w:tcPr>
          <w:p>
            <w:r/>
            <w:r>
              <w:rPr>
                <w:rFonts w:ascii="Aptos" w:hAnsi="Aptos"/>
                <w:b w:val="0"/>
                <w:sz w:val="16"/>
              </w:rPr>
              <w:t>72</w:t>
            </w:r>
          </w:p>
        </w:tc>
        <w:tc>
          <w:tcPr>
            <w:tcW w:type="dxa" w:w="1728"/>
          </w:tcPr>
          <w:p>
            <w:r/>
            <w:r>
              <w:rPr>
                <w:rFonts w:ascii="Aptos" w:hAnsi="Aptos"/>
                <w:b w:val="0"/>
                <w:sz w:val="16"/>
              </w:rPr>
              <w:t>60</w:t>
            </w:r>
          </w:p>
        </w:tc>
        <w:tc>
          <w:tcPr>
            <w:tcW w:type="dxa" w:w="1440"/>
          </w:tcPr>
          <w:p>
            <w:r/>
            <w:r>
              <w:rPr>
                <w:rFonts w:ascii="Aptos" w:hAnsi="Aptos"/>
                <w:b w:val="0"/>
                <w:sz w:val="16"/>
              </w:rPr>
              <w:t>6.8</w:t>
            </w:r>
          </w:p>
        </w:tc>
        <w:tc>
          <w:tcPr>
            <w:tcW w:type="dxa" w:w="1440"/>
          </w:tcPr>
          <w:p>
            <w:r/>
            <w:r>
              <w:rPr>
                <w:rFonts w:ascii="Aptos" w:hAnsi="Aptos"/>
                <w:b w:val="0"/>
                <w:sz w:val="16"/>
              </w:rPr>
              <w:t>71.6</w:t>
            </w:r>
          </w:p>
        </w:tc>
      </w:tr>
      <w:tr>
        <w:tc>
          <w:tcPr>
            <w:tcW w:type="dxa" w:w="1440"/>
          </w:tcPr>
          <w:p>
            <w:r/>
            <w:r>
              <w:rPr>
                <w:rFonts w:ascii="Aptos" w:hAnsi="Aptos"/>
                <w:b w:val="0"/>
                <w:sz w:val="16"/>
              </w:rPr>
              <w:t>S-03</w:t>
            </w:r>
          </w:p>
        </w:tc>
        <w:tc>
          <w:tcPr>
            <w:tcW w:type="dxa" w:w="1728"/>
          </w:tcPr>
          <w:p>
            <w:r/>
            <w:r>
              <w:rPr>
                <w:rFonts w:ascii="Aptos" w:hAnsi="Aptos"/>
                <w:b w:val="0"/>
                <w:sz w:val="16"/>
              </w:rPr>
              <w:t>9.7</w:t>
            </w:r>
          </w:p>
        </w:tc>
        <w:tc>
          <w:tcPr>
            <w:tcW w:type="dxa" w:w="1872"/>
          </w:tcPr>
          <w:p>
            <w:r/>
            <w:r>
              <w:rPr>
                <w:rFonts w:ascii="Aptos" w:hAnsi="Aptos"/>
                <w:b w:val="0"/>
                <w:sz w:val="16"/>
              </w:rPr>
              <w:t>73</w:t>
            </w:r>
          </w:p>
        </w:tc>
        <w:tc>
          <w:tcPr>
            <w:tcW w:type="dxa" w:w="1728"/>
          </w:tcPr>
          <w:p>
            <w:r/>
            <w:r>
              <w:rPr>
                <w:rFonts w:ascii="Aptos" w:hAnsi="Aptos"/>
                <w:b w:val="0"/>
                <w:sz w:val="16"/>
              </w:rPr>
              <w:t>49</w:t>
            </w:r>
          </w:p>
        </w:tc>
        <w:tc>
          <w:tcPr>
            <w:tcW w:type="dxa" w:w="1440"/>
          </w:tcPr>
          <w:p>
            <w:r/>
            <w:r>
              <w:rPr>
                <w:rFonts w:ascii="Aptos" w:hAnsi="Aptos"/>
                <w:b w:val="0"/>
                <w:sz w:val="16"/>
              </w:rPr>
              <w:t>7.2</w:t>
            </w:r>
          </w:p>
        </w:tc>
        <w:tc>
          <w:tcPr>
            <w:tcW w:type="dxa" w:w="1440"/>
          </w:tcPr>
          <w:p>
            <w:r/>
            <w:r>
              <w:rPr>
                <w:rFonts w:ascii="Aptos" w:hAnsi="Aptos"/>
                <w:b w:val="0"/>
                <w:sz w:val="16"/>
              </w:rPr>
              <w:t>96.8</w:t>
            </w:r>
          </w:p>
        </w:tc>
      </w:tr>
      <w:tr>
        <w:tc>
          <w:tcPr>
            <w:tcW w:type="dxa" w:w="1440"/>
          </w:tcPr>
          <w:p>
            <w:r/>
            <w:r>
              <w:rPr>
                <w:rFonts w:ascii="Aptos" w:hAnsi="Aptos"/>
                <w:b w:val="0"/>
                <w:sz w:val="16"/>
              </w:rPr>
              <w:t>S-04</w:t>
            </w:r>
          </w:p>
        </w:tc>
        <w:tc>
          <w:tcPr>
            <w:tcW w:type="dxa" w:w="1728"/>
          </w:tcPr>
          <w:p>
            <w:r/>
            <w:r>
              <w:rPr>
                <w:rFonts w:ascii="Aptos" w:hAnsi="Aptos"/>
                <w:b w:val="0"/>
                <w:sz w:val="16"/>
              </w:rPr>
              <w:t>10.6</w:t>
            </w:r>
          </w:p>
        </w:tc>
        <w:tc>
          <w:tcPr>
            <w:tcW w:type="dxa" w:w="1872"/>
          </w:tcPr>
          <w:p>
            <w:r/>
            <w:r>
              <w:rPr>
                <w:rFonts w:ascii="Aptos" w:hAnsi="Aptos"/>
                <w:b w:val="0"/>
                <w:sz w:val="16"/>
              </w:rPr>
              <w:t>77</w:t>
            </w:r>
          </w:p>
        </w:tc>
        <w:tc>
          <w:tcPr>
            <w:tcW w:type="dxa" w:w="1728"/>
          </w:tcPr>
          <w:p>
            <w:r/>
            <w:r>
              <w:rPr>
                <w:rFonts w:ascii="Aptos" w:hAnsi="Aptos"/>
                <w:b w:val="0"/>
                <w:sz w:val="16"/>
              </w:rPr>
              <w:t>41</w:t>
            </w:r>
          </w:p>
        </w:tc>
        <w:tc>
          <w:tcPr>
            <w:tcW w:type="dxa" w:w="1440"/>
          </w:tcPr>
          <w:p>
            <w:r/>
            <w:r>
              <w:rPr>
                <w:rFonts w:ascii="Aptos" w:hAnsi="Aptos"/>
                <w:b w:val="0"/>
                <w:sz w:val="16"/>
              </w:rPr>
              <w:t>6.0</w:t>
            </w:r>
          </w:p>
        </w:tc>
        <w:tc>
          <w:tcPr>
            <w:tcW w:type="dxa" w:w="1440"/>
          </w:tcPr>
          <w:p>
            <w:r/>
            <w:r>
              <w:rPr>
                <w:rFonts w:ascii="Aptos" w:hAnsi="Aptos"/>
                <w:b w:val="0"/>
                <w:sz w:val="16"/>
              </w:rPr>
              <w:t>98.0</w:t>
            </w:r>
          </w:p>
        </w:tc>
      </w:tr>
      <w:tr>
        <w:tc>
          <w:tcPr>
            <w:tcW w:type="dxa" w:w="1440"/>
          </w:tcPr>
          <w:p>
            <w:r/>
            <w:r>
              <w:rPr>
                <w:rFonts w:ascii="Aptos" w:hAnsi="Aptos"/>
                <w:b w:val="0"/>
                <w:sz w:val="16"/>
              </w:rPr>
              <w:t>S-05</w:t>
            </w:r>
          </w:p>
        </w:tc>
        <w:tc>
          <w:tcPr>
            <w:tcW w:type="dxa" w:w="1728"/>
          </w:tcPr>
          <w:p>
            <w:r/>
            <w:r>
              <w:rPr>
                <w:rFonts w:ascii="Aptos" w:hAnsi="Aptos"/>
                <w:b w:val="0"/>
                <w:sz w:val="16"/>
              </w:rPr>
              <w:t>5.3</w:t>
            </w:r>
          </w:p>
        </w:tc>
        <w:tc>
          <w:tcPr>
            <w:tcW w:type="dxa" w:w="1872"/>
          </w:tcPr>
          <w:p>
            <w:r/>
            <w:r>
              <w:rPr>
                <w:rFonts w:ascii="Aptos" w:hAnsi="Aptos"/>
                <w:b w:val="0"/>
                <w:sz w:val="16"/>
              </w:rPr>
              <w:t>58</w:t>
            </w:r>
          </w:p>
        </w:tc>
        <w:tc>
          <w:tcPr>
            <w:tcW w:type="dxa" w:w="1728"/>
          </w:tcPr>
          <w:p>
            <w:r/>
            <w:r>
              <w:rPr>
                <w:rFonts w:ascii="Aptos" w:hAnsi="Aptos"/>
                <w:b w:val="0"/>
                <w:sz w:val="16"/>
              </w:rPr>
              <w:t>44</w:t>
            </w:r>
          </w:p>
        </w:tc>
        <w:tc>
          <w:tcPr>
            <w:tcW w:type="dxa" w:w="1440"/>
          </w:tcPr>
          <w:p>
            <w:r/>
            <w:r>
              <w:rPr>
                <w:rFonts w:ascii="Aptos" w:hAnsi="Aptos"/>
                <w:b w:val="0"/>
                <w:sz w:val="16"/>
              </w:rPr>
              <w:t>6.4</w:t>
            </w:r>
          </w:p>
        </w:tc>
        <w:tc>
          <w:tcPr>
            <w:tcW w:type="dxa" w:w="1440"/>
          </w:tcPr>
          <w:p>
            <w:r/>
            <w:r>
              <w:rPr>
                <w:rFonts w:ascii="Aptos" w:hAnsi="Aptos"/>
                <w:b w:val="0"/>
                <w:sz w:val="16"/>
              </w:rPr>
              <w:t>62.4</w:t>
            </w:r>
          </w:p>
        </w:tc>
      </w:tr>
      <w:tr>
        <w:tc>
          <w:tcPr>
            <w:tcW w:type="dxa" w:w="1440"/>
          </w:tcPr>
          <w:p>
            <w:r/>
            <w:r>
              <w:rPr>
                <w:rFonts w:ascii="Aptos" w:hAnsi="Aptos"/>
                <w:b w:val="0"/>
                <w:sz w:val="16"/>
              </w:rPr>
              <w:t>S-06</w:t>
            </w:r>
          </w:p>
        </w:tc>
        <w:tc>
          <w:tcPr>
            <w:tcW w:type="dxa" w:w="1728"/>
          </w:tcPr>
          <w:p>
            <w:r/>
            <w:r>
              <w:rPr>
                <w:rFonts w:ascii="Aptos" w:hAnsi="Aptos"/>
                <w:b w:val="0"/>
                <w:sz w:val="16"/>
              </w:rPr>
              <w:t>5.8</w:t>
            </w:r>
          </w:p>
        </w:tc>
        <w:tc>
          <w:tcPr>
            <w:tcW w:type="dxa" w:w="1872"/>
          </w:tcPr>
          <w:p>
            <w:r/>
            <w:r>
              <w:rPr>
                <w:rFonts w:ascii="Aptos" w:hAnsi="Aptos"/>
                <w:b w:val="0"/>
                <w:sz w:val="16"/>
              </w:rPr>
              <w:t>87</w:t>
            </w:r>
          </w:p>
        </w:tc>
        <w:tc>
          <w:tcPr>
            <w:tcW w:type="dxa" w:w="1728"/>
          </w:tcPr>
          <w:p>
            <w:r/>
            <w:r>
              <w:rPr>
                <w:rFonts w:ascii="Aptos" w:hAnsi="Aptos"/>
                <w:b w:val="0"/>
                <w:sz w:val="16"/>
              </w:rPr>
              <w:t>64</w:t>
            </w:r>
          </w:p>
        </w:tc>
        <w:tc>
          <w:tcPr>
            <w:tcW w:type="dxa" w:w="1440"/>
          </w:tcPr>
          <w:p>
            <w:r/>
            <w:r>
              <w:rPr>
                <w:rFonts w:ascii="Aptos" w:hAnsi="Aptos"/>
                <w:b w:val="0"/>
                <w:sz w:val="16"/>
              </w:rPr>
              <w:t>6.8</w:t>
            </w:r>
          </w:p>
        </w:tc>
        <w:tc>
          <w:tcPr>
            <w:tcW w:type="dxa" w:w="1440"/>
          </w:tcPr>
          <w:p>
            <w:r/>
            <w:r>
              <w:rPr>
                <w:rFonts w:ascii="Aptos" w:hAnsi="Aptos"/>
                <w:b w:val="0"/>
                <w:sz w:val="16"/>
              </w:rPr>
              <w:t>80.6</w:t>
            </w:r>
          </w:p>
        </w:tc>
      </w:tr>
      <w:tr>
        <w:tc>
          <w:tcPr>
            <w:tcW w:type="dxa" w:w="1440"/>
          </w:tcPr>
          <w:p>
            <w:r/>
            <w:r>
              <w:rPr>
                <w:rFonts w:ascii="Aptos" w:hAnsi="Aptos"/>
                <w:b w:val="0"/>
                <w:sz w:val="16"/>
              </w:rPr>
              <w:t>S-07</w:t>
            </w:r>
          </w:p>
        </w:tc>
        <w:tc>
          <w:tcPr>
            <w:tcW w:type="dxa" w:w="1728"/>
          </w:tcPr>
          <w:p>
            <w:r/>
            <w:r>
              <w:rPr>
                <w:rFonts w:ascii="Aptos" w:hAnsi="Aptos"/>
                <w:b w:val="0"/>
                <w:sz w:val="16"/>
              </w:rPr>
              <w:t>5.1</w:t>
            </w:r>
          </w:p>
        </w:tc>
        <w:tc>
          <w:tcPr>
            <w:tcW w:type="dxa" w:w="1872"/>
          </w:tcPr>
          <w:p>
            <w:r/>
            <w:r>
              <w:rPr>
                <w:rFonts w:ascii="Aptos" w:hAnsi="Aptos"/>
                <w:b w:val="0"/>
                <w:sz w:val="16"/>
              </w:rPr>
              <w:t>69</w:t>
            </w:r>
          </w:p>
        </w:tc>
        <w:tc>
          <w:tcPr>
            <w:tcW w:type="dxa" w:w="1728"/>
          </w:tcPr>
          <w:p>
            <w:r/>
            <w:r>
              <w:rPr>
                <w:rFonts w:ascii="Aptos" w:hAnsi="Aptos"/>
                <w:b w:val="0"/>
                <w:sz w:val="16"/>
              </w:rPr>
              <w:t>41</w:t>
            </w:r>
          </w:p>
        </w:tc>
        <w:tc>
          <w:tcPr>
            <w:tcW w:type="dxa" w:w="1440"/>
          </w:tcPr>
          <w:p>
            <w:r/>
            <w:r>
              <w:rPr>
                <w:rFonts w:ascii="Aptos" w:hAnsi="Aptos"/>
                <w:b w:val="0"/>
                <w:sz w:val="16"/>
              </w:rPr>
              <w:t>7.2</w:t>
            </w:r>
          </w:p>
        </w:tc>
        <w:tc>
          <w:tcPr>
            <w:tcW w:type="dxa" w:w="1440"/>
          </w:tcPr>
          <w:p>
            <w:r/>
            <w:r>
              <w:rPr>
                <w:rFonts w:ascii="Aptos" w:hAnsi="Aptos"/>
                <w:b w:val="0"/>
                <w:sz w:val="16"/>
              </w:rPr>
              <w:t>68.4</w:t>
            </w:r>
          </w:p>
        </w:tc>
      </w:tr>
      <w:tr>
        <w:tc>
          <w:tcPr>
            <w:tcW w:type="dxa" w:w="1440"/>
          </w:tcPr>
          <w:p>
            <w:r/>
            <w:r>
              <w:rPr>
                <w:rFonts w:ascii="Aptos" w:hAnsi="Aptos"/>
                <w:b w:val="0"/>
                <w:sz w:val="16"/>
              </w:rPr>
              <w:t>S-08</w:t>
            </w:r>
          </w:p>
        </w:tc>
        <w:tc>
          <w:tcPr>
            <w:tcW w:type="dxa" w:w="1728"/>
          </w:tcPr>
          <w:p>
            <w:r/>
            <w:r>
              <w:rPr>
                <w:rFonts w:ascii="Aptos" w:hAnsi="Aptos"/>
                <w:b w:val="0"/>
                <w:sz w:val="16"/>
              </w:rPr>
              <w:t>2.2</w:t>
            </w:r>
          </w:p>
        </w:tc>
        <w:tc>
          <w:tcPr>
            <w:tcW w:type="dxa" w:w="1872"/>
          </w:tcPr>
          <w:p>
            <w:r/>
            <w:r>
              <w:rPr>
                <w:rFonts w:ascii="Aptos" w:hAnsi="Aptos"/>
                <w:b w:val="0"/>
                <w:sz w:val="16"/>
              </w:rPr>
              <w:t>68</w:t>
            </w:r>
          </w:p>
        </w:tc>
        <w:tc>
          <w:tcPr>
            <w:tcW w:type="dxa" w:w="1728"/>
          </w:tcPr>
          <w:p>
            <w:r/>
            <w:r>
              <w:rPr>
                <w:rFonts w:ascii="Aptos" w:hAnsi="Aptos"/>
                <w:b w:val="0"/>
                <w:sz w:val="16"/>
              </w:rPr>
              <w:t>77</w:t>
            </w:r>
          </w:p>
        </w:tc>
        <w:tc>
          <w:tcPr>
            <w:tcW w:type="dxa" w:w="1440"/>
          </w:tcPr>
          <w:p>
            <w:r/>
            <w:r>
              <w:rPr>
                <w:rFonts w:ascii="Aptos" w:hAnsi="Aptos"/>
                <w:b w:val="0"/>
                <w:sz w:val="16"/>
              </w:rPr>
              <w:t>6.0</w:t>
            </w:r>
          </w:p>
        </w:tc>
        <w:tc>
          <w:tcPr>
            <w:tcW w:type="dxa" w:w="1440"/>
          </w:tcPr>
          <w:p>
            <w:r/>
            <w:r>
              <w:rPr>
                <w:rFonts w:ascii="Aptos" w:hAnsi="Aptos"/>
                <w:b w:val="0"/>
                <w:sz w:val="16"/>
              </w:rPr>
              <w:t>62.8</w:t>
            </w:r>
          </w:p>
        </w:tc>
      </w:tr>
      <w:tr>
        <w:tc>
          <w:tcPr>
            <w:tcW w:type="dxa" w:w="1440"/>
          </w:tcPr>
          <w:p>
            <w:r/>
            <w:r>
              <w:rPr>
                <w:rFonts w:ascii="Aptos" w:hAnsi="Aptos"/>
                <w:b w:val="0"/>
                <w:sz w:val="16"/>
              </w:rPr>
              <w:t>S-09</w:t>
            </w:r>
          </w:p>
        </w:tc>
        <w:tc>
          <w:tcPr>
            <w:tcW w:type="dxa" w:w="1728"/>
          </w:tcPr>
          <w:p>
            <w:r/>
            <w:r>
              <w:rPr>
                <w:rFonts w:ascii="Aptos" w:hAnsi="Aptos"/>
                <w:b w:val="0"/>
                <w:sz w:val="16"/>
              </w:rPr>
              <w:t>6.3</w:t>
            </w:r>
          </w:p>
        </w:tc>
        <w:tc>
          <w:tcPr>
            <w:tcW w:type="dxa" w:w="1872"/>
          </w:tcPr>
          <w:p>
            <w:r/>
            <w:r>
              <w:rPr>
                <w:rFonts w:ascii="Aptos" w:hAnsi="Aptos"/>
                <w:b w:val="0"/>
                <w:sz w:val="16"/>
              </w:rPr>
              <w:t>95</w:t>
            </w:r>
          </w:p>
        </w:tc>
        <w:tc>
          <w:tcPr>
            <w:tcW w:type="dxa" w:w="1728"/>
          </w:tcPr>
          <w:p>
            <w:r/>
            <w:r>
              <w:rPr>
                <w:rFonts w:ascii="Aptos" w:hAnsi="Aptos"/>
                <w:b w:val="0"/>
                <w:sz w:val="16"/>
              </w:rPr>
              <w:t>80</w:t>
            </w:r>
          </w:p>
        </w:tc>
        <w:tc>
          <w:tcPr>
            <w:tcW w:type="dxa" w:w="1440"/>
          </w:tcPr>
          <w:p>
            <w:r/>
            <w:r>
              <w:rPr>
                <w:rFonts w:ascii="Aptos" w:hAnsi="Aptos"/>
                <w:b w:val="0"/>
                <w:sz w:val="16"/>
              </w:rPr>
              <w:t>6.4</w:t>
            </w:r>
          </w:p>
        </w:tc>
        <w:tc>
          <w:tcPr>
            <w:tcW w:type="dxa" w:w="1440"/>
          </w:tcPr>
          <w:p>
            <w:r/>
            <w:r>
              <w:rPr>
                <w:rFonts w:ascii="Aptos" w:hAnsi="Aptos"/>
                <w:b w:val="0"/>
                <w:sz w:val="16"/>
              </w:rPr>
              <w:t>84.8</w:t>
            </w:r>
          </w:p>
        </w:tc>
      </w:tr>
      <w:tr>
        <w:tc>
          <w:tcPr>
            <w:tcW w:type="dxa" w:w="1440"/>
          </w:tcPr>
          <w:p>
            <w:r/>
            <w:r>
              <w:rPr>
                <w:rFonts w:ascii="Aptos" w:hAnsi="Aptos"/>
                <w:b w:val="0"/>
                <w:sz w:val="16"/>
              </w:rPr>
              <w:t>S-10</w:t>
            </w:r>
          </w:p>
        </w:tc>
        <w:tc>
          <w:tcPr>
            <w:tcW w:type="dxa" w:w="1728"/>
          </w:tcPr>
          <w:p>
            <w:r/>
            <w:r>
              <w:rPr>
                <w:rFonts w:ascii="Aptos" w:hAnsi="Aptos"/>
                <w:b w:val="0"/>
                <w:sz w:val="16"/>
              </w:rPr>
              <w:t>3.7</w:t>
            </w:r>
          </w:p>
        </w:tc>
        <w:tc>
          <w:tcPr>
            <w:tcW w:type="dxa" w:w="1872"/>
          </w:tcPr>
          <w:p>
            <w:r/>
            <w:r>
              <w:rPr>
                <w:rFonts w:ascii="Aptos" w:hAnsi="Aptos"/>
                <w:b w:val="0"/>
                <w:sz w:val="16"/>
              </w:rPr>
              <w:t>82</w:t>
            </w:r>
          </w:p>
        </w:tc>
        <w:tc>
          <w:tcPr>
            <w:tcW w:type="dxa" w:w="1728"/>
          </w:tcPr>
          <w:p>
            <w:r/>
            <w:r>
              <w:rPr>
                <w:rFonts w:ascii="Aptos" w:hAnsi="Aptos"/>
                <w:b w:val="0"/>
                <w:sz w:val="16"/>
              </w:rPr>
              <w:t>91</w:t>
            </w:r>
          </w:p>
        </w:tc>
        <w:tc>
          <w:tcPr>
            <w:tcW w:type="dxa" w:w="1440"/>
          </w:tcPr>
          <w:p>
            <w:r/>
            <w:r>
              <w:rPr>
                <w:rFonts w:ascii="Aptos" w:hAnsi="Aptos"/>
                <w:b w:val="0"/>
                <w:sz w:val="16"/>
              </w:rPr>
              <w:t>6.8</w:t>
            </w:r>
          </w:p>
        </w:tc>
        <w:tc>
          <w:tcPr>
            <w:tcW w:type="dxa" w:w="1440"/>
          </w:tcPr>
          <w:p>
            <w:r/>
            <w:r>
              <w:rPr>
                <w:rFonts w:ascii="Aptos" w:hAnsi="Aptos"/>
                <w:b w:val="0"/>
                <w:sz w:val="16"/>
              </w:rPr>
              <w:t>81.3</w:t>
            </w:r>
          </w:p>
        </w:tc>
      </w:tr>
      <w:tr>
        <w:tc>
          <w:tcPr>
            <w:tcW w:type="dxa" w:w="1440"/>
          </w:tcPr>
          <w:p>
            <w:r/>
            <w:r>
              <w:rPr>
                <w:rFonts w:ascii="Aptos" w:hAnsi="Aptos"/>
                <w:b w:val="0"/>
                <w:sz w:val="16"/>
              </w:rPr>
              <w:t>S-11</w:t>
            </w:r>
          </w:p>
        </w:tc>
        <w:tc>
          <w:tcPr>
            <w:tcW w:type="dxa" w:w="1728"/>
          </w:tcPr>
          <w:p>
            <w:r/>
            <w:r>
              <w:rPr>
                <w:rFonts w:ascii="Aptos" w:hAnsi="Aptos"/>
                <w:b w:val="0"/>
                <w:sz w:val="16"/>
              </w:rPr>
              <w:t>3.8</w:t>
            </w:r>
          </w:p>
        </w:tc>
        <w:tc>
          <w:tcPr>
            <w:tcW w:type="dxa" w:w="1872"/>
          </w:tcPr>
          <w:p>
            <w:r/>
            <w:r>
              <w:rPr>
                <w:rFonts w:ascii="Aptos" w:hAnsi="Aptos"/>
                <w:b w:val="0"/>
                <w:sz w:val="16"/>
              </w:rPr>
              <w:t>85</w:t>
            </w:r>
          </w:p>
        </w:tc>
        <w:tc>
          <w:tcPr>
            <w:tcW w:type="dxa" w:w="1728"/>
          </w:tcPr>
          <w:p>
            <w:r/>
            <w:r>
              <w:rPr>
                <w:rFonts w:ascii="Aptos" w:hAnsi="Aptos"/>
                <w:b w:val="0"/>
                <w:sz w:val="16"/>
              </w:rPr>
              <w:t>81</w:t>
            </w:r>
          </w:p>
        </w:tc>
        <w:tc>
          <w:tcPr>
            <w:tcW w:type="dxa" w:w="1440"/>
          </w:tcPr>
          <w:p>
            <w:r/>
            <w:r>
              <w:rPr>
                <w:rFonts w:ascii="Aptos" w:hAnsi="Aptos"/>
                <w:b w:val="0"/>
                <w:sz w:val="16"/>
              </w:rPr>
              <w:t>7.2</w:t>
            </w:r>
          </w:p>
        </w:tc>
        <w:tc>
          <w:tcPr>
            <w:tcW w:type="dxa" w:w="1440"/>
          </w:tcPr>
          <w:p>
            <w:r/>
            <w:r>
              <w:rPr>
                <w:rFonts w:ascii="Aptos" w:hAnsi="Aptos"/>
                <w:b w:val="0"/>
                <w:sz w:val="16"/>
              </w:rPr>
              <w:t>82.6</w:t>
            </w:r>
          </w:p>
        </w:tc>
      </w:tr>
    </w:tbl>
    <w:p>
      <w:r>
        <w:br w:type="page"/>
      </w:r>
    </w:p>
    <w:p>
      <w:pPr>
        <w:pStyle w:val="Heading1"/>
        <w:spacing w:before="80" w:after="120"/>
      </w:pPr>
      <w:r>
        <w:rPr>
          <w:rFonts w:ascii="Aptos" w:hAnsi="Aptos"/>
          <w:b/>
          <w:sz w:val="26"/>
        </w:rPr>
        <w:t>Appendix B - Data Dictionary</w:t>
      </w:r>
    </w:p>
    <w:p>
      <w:pPr>
        <w:spacing w:after="120"/>
      </w:pPr>
      <w:r>
        <w:rPr>
          <w:rFonts w:ascii="Aptos" w:hAnsi="Aptos"/>
          <w:b w:val="0"/>
          <w:sz w:val="20"/>
        </w:rPr>
        <w:t>This appendix defines the illustrative variables used in the analysis. All records are anonymized and synthetic; the data dictionary is included to support reproducibility and responsible interpretation.</w:t>
      </w:r>
    </w:p>
    <w:p>
      <w:pPr>
        <w:pStyle w:val="ListBullet"/>
        <w:spacing w:after="80"/>
      </w:pPr>
      <w:r>
        <w:rPr>
          <w:rFonts w:ascii="Aptos" w:hAnsi="Aptos"/>
          <w:b w:val="0"/>
          <w:sz w:val="20"/>
        </w:rPr>
        <w:t>Study hours: self-reported weekly academic study time.</w:t>
      </w:r>
    </w:p>
    <w:p>
      <w:pPr>
        <w:pStyle w:val="ListBullet"/>
        <w:spacing w:after="80"/>
      </w:pPr>
      <w:r>
        <w:rPr>
          <w:rFonts w:ascii="Aptos" w:hAnsi="Aptos"/>
          <w:b w:val="0"/>
          <w:sz w:val="20"/>
        </w:rPr>
        <w:t>Attendance: percentage of scheduled sessions attended.</w:t>
      </w:r>
    </w:p>
    <w:p>
      <w:pPr>
        <w:pStyle w:val="ListBullet"/>
        <w:spacing w:after="80"/>
      </w:pPr>
      <w:r>
        <w:rPr>
          <w:rFonts w:ascii="Aptos" w:hAnsi="Aptos"/>
          <w:b w:val="0"/>
          <w:sz w:val="20"/>
        </w:rPr>
        <w:t>Previous score: prior examination percentage.</w:t>
      </w:r>
    </w:p>
    <w:p>
      <w:pPr>
        <w:pStyle w:val="ListBullet"/>
        <w:spacing w:after="80"/>
      </w:pPr>
      <w:r>
        <w:rPr>
          <w:rFonts w:ascii="Aptos" w:hAnsi="Aptos"/>
          <w:b w:val="0"/>
          <w:sz w:val="20"/>
        </w:rPr>
        <w:t>Sleep hours: typical nightly sleep duration.</w:t>
      </w:r>
    </w:p>
    <w:p>
      <w:pPr>
        <w:pStyle w:val="ListBullet"/>
        <w:spacing w:after="80"/>
      </w:pPr>
      <w:r>
        <w:rPr>
          <w:rFonts w:ascii="Aptos" w:hAnsi="Aptos"/>
          <w:b w:val="0"/>
          <w:sz w:val="20"/>
        </w:rPr>
        <w:t>Final score: examination score used as the outcome variable.</w:t>
      </w:r>
    </w:p>
    <w:p>
      <w:r>
        <w:br w:type="page"/>
      </w:r>
    </w:p>
    <w:p>
      <w:pPr>
        <w:pStyle w:val="Heading1"/>
        <w:spacing w:before="80" w:after="120"/>
      </w:pPr>
      <w:r>
        <w:rPr>
          <w:rFonts w:ascii="Aptos" w:hAnsi="Aptos"/>
          <w:b/>
          <w:sz w:val="26"/>
        </w:rPr>
        <w:t>Appendix C - Data Quality Checks</w:t>
      </w:r>
    </w:p>
    <w:p>
      <w:pPr>
        <w:spacing w:after="120"/>
      </w:pPr>
      <w:r>
        <w:rPr>
          <w:rFonts w:ascii="Aptos" w:hAnsi="Aptos"/>
          <w:b w:val="0"/>
          <w:sz w:val="20"/>
        </w:rPr>
        <w:t>Before analysis, data should be reviewed for missing values, duplicate records, impossible ranges and inconsistent units. Quality checks protect against misleading charts and incorrect statistical conclusions.</w:t>
      </w:r>
    </w:p>
    <w:p>
      <w:pPr>
        <w:pStyle w:val="ListBullet"/>
        <w:spacing w:after="80"/>
      </w:pPr>
      <w:r>
        <w:rPr>
          <w:rFonts w:ascii="Aptos" w:hAnsi="Aptos"/>
          <w:b w:val="0"/>
          <w:sz w:val="20"/>
        </w:rPr>
        <w:t>Check study hours and sleep hours for plausible ranges.</w:t>
      </w:r>
    </w:p>
    <w:p>
      <w:pPr>
        <w:pStyle w:val="ListBullet"/>
        <w:spacing w:after="80"/>
      </w:pPr>
      <w:r>
        <w:rPr>
          <w:rFonts w:ascii="Aptos" w:hAnsi="Aptos"/>
          <w:b w:val="0"/>
          <w:sz w:val="20"/>
        </w:rPr>
        <w:t>Verify attendance is between 0 and 100 percent.</w:t>
      </w:r>
    </w:p>
    <w:p>
      <w:pPr>
        <w:pStyle w:val="ListBullet"/>
        <w:spacing w:after="80"/>
      </w:pPr>
      <w:r>
        <w:rPr>
          <w:rFonts w:ascii="Aptos" w:hAnsi="Aptos"/>
          <w:b w:val="0"/>
          <w:sz w:val="20"/>
        </w:rPr>
        <w:t>Remove duplicate record identifiers.</w:t>
      </w:r>
    </w:p>
    <w:p>
      <w:pPr>
        <w:pStyle w:val="ListBullet"/>
        <w:spacing w:after="80"/>
      </w:pPr>
      <w:r>
        <w:rPr>
          <w:rFonts w:ascii="Aptos" w:hAnsi="Aptos"/>
          <w:b w:val="0"/>
          <w:sz w:val="20"/>
        </w:rPr>
        <w:t>Document any missing-value treatment.</w:t>
      </w:r>
    </w:p>
    <w:p>
      <w:pPr>
        <w:pStyle w:val="ListBullet"/>
        <w:spacing w:after="80"/>
      </w:pPr>
      <w:r>
        <w:rPr>
          <w:rFonts w:ascii="Aptos" w:hAnsi="Aptos"/>
          <w:b w:val="0"/>
          <w:sz w:val="20"/>
        </w:rPr>
        <w:t>Keep a reproducible record of transformations.</w:t>
      </w:r>
    </w:p>
    <w:p>
      <w:r>
        <w:br w:type="page"/>
      </w:r>
    </w:p>
    <w:p>
      <w:pPr>
        <w:pStyle w:val="Heading1"/>
        <w:spacing w:before="80" w:after="120"/>
      </w:pPr>
      <w:r>
        <w:rPr>
          <w:rFonts w:ascii="Aptos" w:hAnsi="Aptos"/>
          <w:b/>
          <w:sz w:val="26"/>
        </w:rPr>
        <w:t>Appendix D - Suggested Python Workflow</w:t>
      </w:r>
    </w:p>
    <w:p>
      <w:pPr>
        <w:spacing w:after="120"/>
      </w:pPr>
      <w:r>
        <w:rPr>
          <w:rFonts w:ascii="Aptos" w:hAnsi="Aptos"/>
          <w:b w:val="0"/>
          <w:sz w:val="20"/>
        </w:rPr>
        <w:t>A reproducible workflow separates loading, cleaning, exploratory analysis, statistical testing and reporting. Code should be version controlled and results regenerated when data changes.</w:t>
      </w:r>
    </w:p>
    <w:p>
      <w:pPr>
        <w:pStyle w:val="ListBullet"/>
        <w:spacing w:after="80"/>
      </w:pPr>
      <w:r>
        <w:rPr>
          <w:rFonts w:ascii="Aptos" w:hAnsi="Aptos"/>
          <w:b w:val="0"/>
          <w:sz w:val="20"/>
        </w:rPr>
        <w:t>Load a de-identified CSV file with Pandas.</w:t>
      </w:r>
    </w:p>
    <w:p>
      <w:pPr>
        <w:pStyle w:val="ListBullet"/>
        <w:spacing w:after="80"/>
      </w:pPr>
      <w:r>
        <w:rPr>
          <w:rFonts w:ascii="Aptos" w:hAnsi="Aptos"/>
          <w:b w:val="0"/>
          <w:sz w:val="20"/>
        </w:rPr>
        <w:t>Use describe() and missing-value checks.</w:t>
      </w:r>
    </w:p>
    <w:p>
      <w:pPr>
        <w:pStyle w:val="ListBullet"/>
        <w:spacing w:after="80"/>
      </w:pPr>
      <w:r>
        <w:rPr>
          <w:rFonts w:ascii="Aptos" w:hAnsi="Aptos"/>
          <w:b w:val="0"/>
          <w:sz w:val="20"/>
        </w:rPr>
        <w:t>Create correlation tables and figures.</w:t>
      </w:r>
    </w:p>
    <w:p>
      <w:pPr>
        <w:pStyle w:val="ListBullet"/>
        <w:spacing w:after="80"/>
      </w:pPr>
      <w:r>
        <w:rPr>
          <w:rFonts w:ascii="Aptos" w:hAnsi="Aptos"/>
          <w:b w:val="0"/>
          <w:sz w:val="20"/>
        </w:rPr>
        <w:t>Fit regression with documented assumptions.</w:t>
      </w:r>
    </w:p>
    <w:p>
      <w:pPr>
        <w:pStyle w:val="ListBullet"/>
        <w:spacing w:after="80"/>
      </w:pPr>
      <w:r>
        <w:rPr>
          <w:rFonts w:ascii="Aptos" w:hAnsi="Aptos"/>
          <w:b w:val="0"/>
          <w:sz w:val="20"/>
        </w:rPr>
        <w:t>Export only aggregated, privacy-safe results.</w:t>
      </w:r>
    </w:p>
    <w:p>
      <w:r>
        <w:br w:type="page"/>
      </w:r>
    </w:p>
    <w:p>
      <w:pPr>
        <w:pStyle w:val="Heading1"/>
        <w:spacing w:before="80" w:after="120"/>
      </w:pPr>
      <w:r>
        <w:rPr>
          <w:rFonts w:ascii="Aptos" w:hAnsi="Aptos"/>
          <w:b/>
          <w:sz w:val="26"/>
        </w:rPr>
        <w:t>Appendix E - Regression Assumptions</w:t>
      </w:r>
    </w:p>
    <w:p>
      <w:pPr>
        <w:spacing w:after="120"/>
      </w:pPr>
      <w:r>
        <w:rPr>
          <w:rFonts w:ascii="Aptos" w:hAnsi="Aptos"/>
          <w:b w:val="0"/>
          <w:sz w:val="20"/>
        </w:rPr>
        <w:t>Regression is useful only when its assumptions and limitations are considered. Diagnostics should be included before decisions are made from the model.</w:t>
      </w:r>
    </w:p>
    <w:p>
      <w:pPr>
        <w:pStyle w:val="ListBullet"/>
        <w:spacing w:after="80"/>
      </w:pPr>
      <w:r>
        <w:rPr>
          <w:rFonts w:ascii="Aptos" w:hAnsi="Aptos"/>
          <w:b w:val="0"/>
          <w:sz w:val="20"/>
        </w:rPr>
        <w:t>Inspect residual patterns for non-linearity.</w:t>
      </w:r>
    </w:p>
    <w:p>
      <w:pPr>
        <w:pStyle w:val="ListBullet"/>
        <w:spacing w:after="80"/>
      </w:pPr>
      <w:r>
        <w:rPr>
          <w:rFonts w:ascii="Aptos" w:hAnsi="Aptos"/>
          <w:b w:val="0"/>
          <w:sz w:val="20"/>
        </w:rPr>
        <w:t>Check for influential observations.</w:t>
      </w:r>
    </w:p>
    <w:p>
      <w:pPr>
        <w:pStyle w:val="ListBullet"/>
        <w:spacing w:after="80"/>
      </w:pPr>
      <w:r>
        <w:rPr>
          <w:rFonts w:ascii="Aptos" w:hAnsi="Aptos"/>
          <w:b w:val="0"/>
          <w:sz w:val="20"/>
        </w:rPr>
        <w:t>Assess multicollinearity in multiple models.</w:t>
      </w:r>
    </w:p>
    <w:p>
      <w:pPr>
        <w:pStyle w:val="ListBullet"/>
        <w:spacing w:after="80"/>
      </w:pPr>
      <w:r>
        <w:rPr>
          <w:rFonts w:ascii="Aptos" w:hAnsi="Aptos"/>
          <w:b w:val="0"/>
          <w:sz w:val="20"/>
        </w:rPr>
        <w:t>Report uncertainty, not only point estimates.</w:t>
      </w:r>
    </w:p>
    <w:p>
      <w:pPr>
        <w:pStyle w:val="ListBullet"/>
        <w:spacing w:after="80"/>
      </w:pPr>
      <w:r>
        <w:rPr>
          <w:rFonts w:ascii="Aptos" w:hAnsi="Aptos"/>
          <w:b w:val="0"/>
          <w:sz w:val="20"/>
        </w:rPr>
        <w:t>Avoid causal language for observational data.</w:t>
      </w:r>
    </w:p>
    <w:p>
      <w:r>
        <w:br w:type="page"/>
      </w:r>
    </w:p>
    <w:p>
      <w:pPr>
        <w:pStyle w:val="Heading1"/>
        <w:spacing w:before="80" w:after="120"/>
      </w:pPr>
      <w:r>
        <w:rPr>
          <w:rFonts w:ascii="Aptos" w:hAnsi="Aptos"/>
          <w:b/>
          <w:sz w:val="26"/>
        </w:rPr>
        <w:t>Appendix F - Responsible Use Guidelines</w:t>
      </w:r>
    </w:p>
    <w:p>
      <w:pPr>
        <w:spacing w:after="120"/>
      </w:pPr>
      <w:r>
        <w:rPr>
          <w:rFonts w:ascii="Aptos" w:hAnsi="Aptos"/>
          <w:b w:val="0"/>
          <w:sz w:val="20"/>
        </w:rPr>
        <w:t>Student analytics should support learning and equity. It must not be used as an automated system for grading, exclusion, discipline or labeling students.</w:t>
      </w:r>
    </w:p>
    <w:p>
      <w:pPr>
        <w:pStyle w:val="ListBullet"/>
        <w:spacing w:after="80"/>
      </w:pPr>
      <w:r>
        <w:rPr>
          <w:rFonts w:ascii="Aptos" w:hAnsi="Aptos"/>
          <w:b w:val="0"/>
          <w:sz w:val="20"/>
        </w:rPr>
        <w:t>Use the findings to offer tutoring and resources.</w:t>
      </w:r>
    </w:p>
    <w:p>
      <w:pPr>
        <w:pStyle w:val="ListBullet"/>
        <w:spacing w:after="80"/>
      </w:pPr>
      <w:r>
        <w:rPr>
          <w:rFonts w:ascii="Aptos" w:hAnsi="Aptos"/>
          <w:b w:val="0"/>
          <w:sz w:val="20"/>
        </w:rPr>
        <w:t>Provide transparency about data use.</w:t>
      </w:r>
    </w:p>
    <w:p>
      <w:pPr>
        <w:pStyle w:val="ListBullet"/>
        <w:spacing w:after="80"/>
      </w:pPr>
      <w:r>
        <w:rPr>
          <w:rFonts w:ascii="Aptos" w:hAnsi="Aptos"/>
          <w:b w:val="0"/>
          <w:sz w:val="20"/>
        </w:rPr>
        <w:t>Limit access to authorized staff.</w:t>
      </w:r>
    </w:p>
    <w:p>
      <w:pPr>
        <w:pStyle w:val="ListBullet"/>
        <w:spacing w:after="80"/>
      </w:pPr>
      <w:r>
        <w:rPr>
          <w:rFonts w:ascii="Aptos" w:hAnsi="Aptos"/>
          <w:b w:val="0"/>
          <w:sz w:val="20"/>
        </w:rPr>
        <w:t>Review potential bias and unequal access to support.</w:t>
      </w:r>
    </w:p>
    <w:p>
      <w:pPr>
        <w:pStyle w:val="ListBullet"/>
        <w:spacing w:after="80"/>
      </w:pPr>
      <w:r>
        <w:rPr>
          <w:rFonts w:ascii="Aptos" w:hAnsi="Aptos"/>
          <w:b w:val="0"/>
          <w:sz w:val="20"/>
        </w:rPr>
        <w:t>Keep teacher and student context central to decisions.</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rFonts w:ascii="Aptos" w:hAnsi="Aptos"/>
        <w:b/>
        <w:sz w:val="18"/>
      </w:rPr>
      <w:t>ASSIGNMENT 4 - UNIT IV | MINI PROJECT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